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EA" w:rsidRDefault="00984A9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29.5pt;margin-top:-8.55pt;width:594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Rc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"/>
        </w:pict>
      </w:r>
      <w:r w:rsidR="00F354B1">
        <w:rPr>
          <w:b/>
          <w:sz w:val="28"/>
          <w:szCs w:val="28"/>
        </w:rPr>
        <w:t>2.1.1 Average Enrolment percentage (Average of last five years)</w:t>
      </w:r>
    </w:p>
    <w:p w:rsidR="009523EA" w:rsidRDefault="00F354B1">
      <w:pPr>
        <w:pBdr>
          <w:top w:val="nil"/>
          <w:left w:val="nil"/>
          <w:bottom w:val="nil"/>
          <w:right w:val="nil"/>
          <w:between w:val="nil"/>
        </w:pBdr>
        <w:spacing w:before="248" w:line="360" w:lineRule="auto"/>
        <w:ind w:left="100" w:right="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Alva’s Institute of Engineering and Technology established in 2008, affiliated to </w:t>
      </w:r>
      <w:proofErr w:type="spellStart"/>
      <w:r>
        <w:rPr>
          <w:color w:val="000000"/>
          <w:sz w:val="24"/>
          <w:szCs w:val="24"/>
        </w:rPr>
        <w:t>Visvesvaraya</w:t>
      </w:r>
      <w:proofErr w:type="spellEnd"/>
      <w:r>
        <w:rPr>
          <w:color w:val="000000"/>
          <w:sz w:val="24"/>
          <w:szCs w:val="24"/>
        </w:rPr>
        <w:t xml:space="preserve"> Technological University (VTU), </w:t>
      </w:r>
      <w:proofErr w:type="spellStart"/>
      <w:r>
        <w:rPr>
          <w:color w:val="000000"/>
          <w:sz w:val="24"/>
          <w:szCs w:val="24"/>
        </w:rPr>
        <w:t>Belagavi</w:t>
      </w:r>
      <w:proofErr w:type="spellEnd"/>
      <w:r>
        <w:rPr>
          <w:color w:val="000000"/>
          <w:sz w:val="24"/>
          <w:szCs w:val="24"/>
        </w:rPr>
        <w:t xml:space="preserve">, approved by All India Council for Technical Education (AICTE), New Delhi, and recognized by the Government of Karnataka. The admission of Students to the Institute is </w:t>
      </w:r>
      <w:r w:rsidR="00F93E6B">
        <w:rPr>
          <w:color w:val="000000"/>
          <w:sz w:val="24"/>
          <w:szCs w:val="24"/>
        </w:rPr>
        <w:t xml:space="preserve">through KCET, COMED-K </w:t>
      </w:r>
      <w:r w:rsidR="00FA29F0">
        <w:rPr>
          <w:color w:val="000000"/>
          <w:sz w:val="24"/>
          <w:szCs w:val="24"/>
        </w:rPr>
        <w:t>and M</w:t>
      </w:r>
      <w:r>
        <w:rPr>
          <w:color w:val="000000"/>
          <w:sz w:val="24"/>
          <w:szCs w:val="24"/>
        </w:rPr>
        <w:t>anagement according to the intake sanctioned by AICTE and VTU.</w:t>
      </w:r>
    </w:p>
    <w:p w:rsidR="00FA29F0" w:rsidRPr="00FA29F0" w:rsidRDefault="00FA29F0" w:rsidP="002F36A2">
      <w:pPr>
        <w:pStyle w:val="ListParagraph"/>
        <w:widowControl/>
        <w:numPr>
          <w:ilvl w:val="0"/>
          <w:numId w:val="1"/>
        </w:numPr>
        <w:spacing w:line="480" w:lineRule="auto"/>
        <w:contextualSpacing/>
        <w:rPr>
          <w:b/>
          <w:sz w:val="24"/>
          <w:szCs w:val="24"/>
        </w:rPr>
      </w:pPr>
      <w:r w:rsidRPr="00FA29F0">
        <w:rPr>
          <w:b/>
          <w:sz w:val="24"/>
          <w:szCs w:val="24"/>
        </w:rPr>
        <w:t>Total number of Students admitted=2447</w:t>
      </w:r>
    </w:p>
    <w:p w:rsidR="00FA29F0" w:rsidRPr="00FA29F0" w:rsidRDefault="00FA29F0" w:rsidP="002F36A2">
      <w:pPr>
        <w:pStyle w:val="ListParagraph"/>
        <w:widowControl/>
        <w:numPr>
          <w:ilvl w:val="0"/>
          <w:numId w:val="1"/>
        </w:numPr>
        <w:spacing w:line="480" w:lineRule="auto"/>
        <w:contextualSpacing/>
        <w:rPr>
          <w:b/>
          <w:sz w:val="24"/>
          <w:szCs w:val="24"/>
        </w:rPr>
      </w:pPr>
      <w:r w:rsidRPr="00FA29F0">
        <w:rPr>
          <w:b/>
          <w:sz w:val="24"/>
          <w:szCs w:val="24"/>
        </w:rPr>
        <w:t>Total number of Sanctioned seats=3678</w:t>
      </w:r>
    </w:p>
    <w:p w:rsidR="00FA29F0" w:rsidRPr="00FA29F0" w:rsidRDefault="00FA29F0" w:rsidP="002F36A2">
      <w:pPr>
        <w:pStyle w:val="ListParagraph"/>
        <w:widowControl/>
        <w:numPr>
          <w:ilvl w:val="0"/>
          <w:numId w:val="1"/>
        </w:numPr>
        <w:spacing w:line="480" w:lineRule="auto"/>
        <w:contextualSpacing/>
        <w:rPr>
          <w:b/>
          <w:sz w:val="24"/>
          <w:szCs w:val="24"/>
        </w:rPr>
      </w:pPr>
      <w:r w:rsidRPr="00FA29F0">
        <w:rPr>
          <w:b/>
          <w:sz w:val="24"/>
          <w:szCs w:val="24"/>
        </w:rPr>
        <w:t xml:space="preserve">Average Enrolment percentage (Average of last five years) = </w:t>
      </w:r>
      <w:r w:rsidRPr="00FA29F0">
        <w:rPr>
          <w:b/>
          <w:color w:val="000000"/>
          <w:sz w:val="24"/>
          <w:szCs w:val="24"/>
        </w:rPr>
        <w:t>66.53%</w:t>
      </w:r>
    </w:p>
    <w:p w:rsidR="00F06BB3" w:rsidRDefault="00F06BB3" w:rsidP="00FA29F0">
      <w:pPr>
        <w:pBdr>
          <w:top w:val="nil"/>
          <w:left w:val="nil"/>
          <w:bottom w:val="nil"/>
          <w:right w:val="nil"/>
          <w:between w:val="nil"/>
        </w:pBdr>
        <w:spacing w:before="199" w:line="360" w:lineRule="auto"/>
        <w:ind w:left="100" w:right="114" w:firstLine="620"/>
        <w:jc w:val="both"/>
        <w:rPr>
          <w:b/>
          <w:color w:val="000000"/>
          <w:sz w:val="28"/>
          <w:szCs w:val="28"/>
        </w:rPr>
      </w:pPr>
    </w:p>
    <w:p w:rsidR="009523EA" w:rsidRDefault="00F354B1" w:rsidP="00FA29F0">
      <w:pPr>
        <w:pBdr>
          <w:top w:val="nil"/>
          <w:left w:val="nil"/>
          <w:bottom w:val="nil"/>
          <w:right w:val="nil"/>
          <w:between w:val="nil"/>
        </w:pBdr>
        <w:spacing w:before="199" w:line="360" w:lineRule="auto"/>
        <w:ind w:left="100" w:right="114" w:firstLine="6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Average Enrolment percentage (Average of last five years)</w:t>
      </w:r>
    </w:p>
    <w:tbl>
      <w:tblPr>
        <w:tblStyle w:val="a1"/>
        <w:tblW w:w="9641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1537"/>
        <w:gridCol w:w="2460"/>
        <w:gridCol w:w="2329"/>
        <w:gridCol w:w="2329"/>
      </w:tblGrid>
      <w:tr w:rsidR="009523EA" w:rsidTr="00C31E61">
        <w:trPr>
          <w:trHeight w:val="589"/>
        </w:trPr>
        <w:tc>
          <w:tcPr>
            <w:tcW w:w="986" w:type="dxa"/>
            <w:vAlign w:val="center"/>
          </w:tcPr>
          <w:p w:rsidR="009523EA" w:rsidRDefault="00F35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537" w:type="dxa"/>
            <w:vAlign w:val="center"/>
          </w:tcPr>
          <w:p w:rsidR="009523EA" w:rsidRDefault="00F35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Academic Year</w:t>
            </w:r>
          </w:p>
        </w:tc>
        <w:tc>
          <w:tcPr>
            <w:tcW w:w="2460" w:type="dxa"/>
            <w:vAlign w:val="center"/>
          </w:tcPr>
          <w:p w:rsidR="009523EA" w:rsidRDefault="00F35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AICTE/VTU Approved Seats</w:t>
            </w:r>
            <w:r w:rsidR="001A19C3">
              <w:rPr>
                <w:b/>
                <w:color w:val="000000"/>
                <w:sz w:val="24"/>
                <w:szCs w:val="24"/>
              </w:rPr>
              <w:t xml:space="preserve"> (UG+PG)</w:t>
            </w:r>
          </w:p>
        </w:tc>
        <w:tc>
          <w:tcPr>
            <w:tcW w:w="2329" w:type="dxa"/>
            <w:vAlign w:val="center"/>
          </w:tcPr>
          <w:p w:rsidR="009523EA" w:rsidRDefault="00F35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Admitted Seats</w:t>
            </w:r>
          </w:p>
          <w:p w:rsidR="001A19C3" w:rsidRDefault="001A1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(UG+PG)</w:t>
            </w:r>
          </w:p>
        </w:tc>
        <w:tc>
          <w:tcPr>
            <w:tcW w:w="2329" w:type="dxa"/>
            <w:vAlign w:val="center"/>
          </w:tcPr>
          <w:p w:rsidR="009523EA" w:rsidRDefault="00F35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Enrolment Percentage</w:t>
            </w:r>
          </w:p>
          <w:p w:rsidR="001A19C3" w:rsidRDefault="001A1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(UG+PG)</w:t>
            </w:r>
            <w:r w:rsidR="009D2024">
              <w:rPr>
                <w:b/>
                <w:color w:val="000000"/>
                <w:sz w:val="24"/>
                <w:szCs w:val="24"/>
              </w:rPr>
              <w:t xml:space="preserve"> %</w:t>
            </w:r>
          </w:p>
        </w:tc>
      </w:tr>
      <w:tr w:rsidR="00E50F2A" w:rsidTr="00C31E61">
        <w:trPr>
          <w:trHeight w:val="361"/>
        </w:trPr>
        <w:tc>
          <w:tcPr>
            <w:tcW w:w="986" w:type="dxa"/>
            <w:vAlign w:val="center"/>
          </w:tcPr>
          <w:p w:rsidR="00E50F2A" w:rsidRDefault="00E50F2A" w:rsidP="00E5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:rsidR="00E50F2A" w:rsidRDefault="000D3E05" w:rsidP="00E50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  <w:tc>
          <w:tcPr>
            <w:tcW w:w="2460" w:type="dxa"/>
            <w:vAlign w:val="center"/>
          </w:tcPr>
          <w:p w:rsidR="00E50F2A" w:rsidRDefault="00164BF2" w:rsidP="00E50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D3E05">
              <w:rPr>
                <w:sz w:val="24"/>
                <w:szCs w:val="24"/>
              </w:rPr>
              <w:t>80</w:t>
            </w:r>
          </w:p>
        </w:tc>
        <w:tc>
          <w:tcPr>
            <w:tcW w:w="2329" w:type="dxa"/>
            <w:vAlign w:val="center"/>
          </w:tcPr>
          <w:p w:rsidR="00E50F2A" w:rsidRDefault="000D3E05" w:rsidP="00E50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2329" w:type="dxa"/>
            <w:vAlign w:val="center"/>
          </w:tcPr>
          <w:p w:rsidR="00E50F2A" w:rsidRDefault="000D3E05" w:rsidP="00E50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61.53</w:t>
            </w:r>
          </w:p>
        </w:tc>
      </w:tr>
      <w:tr w:rsidR="00E50F2A" w:rsidTr="00C31E61">
        <w:trPr>
          <w:trHeight w:val="344"/>
        </w:trPr>
        <w:tc>
          <w:tcPr>
            <w:tcW w:w="986" w:type="dxa"/>
            <w:vAlign w:val="center"/>
          </w:tcPr>
          <w:p w:rsidR="00E50F2A" w:rsidRDefault="00E50F2A" w:rsidP="00E5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:rsidR="00E50F2A" w:rsidRDefault="000D3E05" w:rsidP="00E50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</w:t>
            </w:r>
          </w:p>
        </w:tc>
        <w:tc>
          <w:tcPr>
            <w:tcW w:w="2460" w:type="dxa"/>
            <w:vAlign w:val="center"/>
          </w:tcPr>
          <w:p w:rsidR="00E50F2A" w:rsidRDefault="00164BF2" w:rsidP="00E50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2329" w:type="dxa"/>
            <w:vAlign w:val="center"/>
          </w:tcPr>
          <w:p w:rsidR="00E50F2A" w:rsidRDefault="000D3E05" w:rsidP="00E50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2329" w:type="dxa"/>
            <w:vAlign w:val="center"/>
          </w:tcPr>
          <w:p w:rsidR="00E50F2A" w:rsidRDefault="000D3E05" w:rsidP="00E50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59.03</w:t>
            </w:r>
          </w:p>
        </w:tc>
      </w:tr>
      <w:tr w:rsidR="00E50F2A" w:rsidTr="00C31E61">
        <w:trPr>
          <w:trHeight w:val="343"/>
        </w:trPr>
        <w:tc>
          <w:tcPr>
            <w:tcW w:w="986" w:type="dxa"/>
            <w:vAlign w:val="center"/>
          </w:tcPr>
          <w:p w:rsidR="00E50F2A" w:rsidRDefault="00E50F2A" w:rsidP="00E5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:rsidR="00E50F2A" w:rsidRDefault="000D3E05" w:rsidP="00E50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2018-19</w:t>
            </w:r>
          </w:p>
        </w:tc>
        <w:tc>
          <w:tcPr>
            <w:tcW w:w="2460" w:type="dxa"/>
            <w:vAlign w:val="center"/>
          </w:tcPr>
          <w:p w:rsidR="00E50F2A" w:rsidRDefault="00164BF2" w:rsidP="00E50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2329" w:type="dxa"/>
            <w:vAlign w:val="center"/>
          </w:tcPr>
          <w:p w:rsidR="00E50F2A" w:rsidRDefault="000D3E05" w:rsidP="00E50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2329" w:type="dxa"/>
            <w:vAlign w:val="center"/>
          </w:tcPr>
          <w:p w:rsidR="00E50F2A" w:rsidRDefault="000D3E05" w:rsidP="00E50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49.86</w:t>
            </w:r>
          </w:p>
        </w:tc>
      </w:tr>
      <w:tr w:rsidR="00E50F2A" w:rsidTr="00C31E61">
        <w:trPr>
          <w:trHeight w:val="344"/>
        </w:trPr>
        <w:tc>
          <w:tcPr>
            <w:tcW w:w="986" w:type="dxa"/>
            <w:vAlign w:val="center"/>
          </w:tcPr>
          <w:p w:rsidR="00E50F2A" w:rsidRDefault="00E50F2A" w:rsidP="00E5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7" w:type="dxa"/>
            <w:vAlign w:val="center"/>
          </w:tcPr>
          <w:p w:rsidR="00E50F2A" w:rsidRDefault="000D3E05" w:rsidP="00E5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2460" w:type="dxa"/>
            <w:vAlign w:val="center"/>
          </w:tcPr>
          <w:p w:rsidR="00E50F2A" w:rsidRDefault="00164BF2" w:rsidP="00E5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329" w:type="dxa"/>
            <w:vAlign w:val="center"/>
          </w:tcPr>
          <w:p w:rsidR="00E50F2A" w:rsidRDefault="000D3E05" w:rsidP="00E5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2329" w:type="dxa"/>
            <w:vAlign w:val="center"/>
          </w:tcPr>
          <w:p w:rsidR="00E50F2A" w:rsidRDefault="000D3E05" w:rsidP="00E5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77.55</w:t>
            </w:r>
          </w:p>
        </w:tc>
      </w:tr>
      <w:tr w:rsidR="00E50F2A" w:rsidTr="00C31E61">
        <w:trPr>
          <w:trHeight w:val="344"/>
        </w:trPr>
        <w:tc>
          <w:tcPr>
            <w:tcW w:w="986" w:type="dxa"/>
            <w:vAlign w:val="center"/>
          </w:tcPr>
          <w:p w:rsidR="00E50F2A" w:rsidRDefault="00E50F2A" w:rsidP="00E5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37" w:type="dxa"/>
            <w:vAlign w:val="center"/>
          </w:tcPr>
          <w:p w:rsidR="00E50F2A" w:rsidRDefault="000D3E05" w:rsidP="00E5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2016-17</w:t>
            </w:r>
          </w:p>
        </w:tc>
        <w:tc>
          <w:tcPr>
            <w:tcW w:w="2460" w:type="dxa"/>
            <w:vAlign w:val="center"/>
          </w:tcPr>
          <w:p w:rsidR="00E50F2A" w:rsidRDefault="00164BF2" w:rsidP="00E5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0D3E0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329" w:type="dxa"/>
            <w:vAlign w:val="center"/>
          </w:tcPr>
          <w:p w:rsidR="00E50F2A" w:rsidRDefault="000D3E05" w:rsidP="00E5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2329" w:type="dxa"/>
            <w:vAlign w:val="center"/>
          </w:tcPr>
          <w:p w:rsidR="00E50F2A" w:rsidRDefault="000D3E05" w:rsidP="00E5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84.69</w:t>
            </w:r>
          </w:p>
        </w:tc>
      </w:tr>
      <w:tr w:rsidR="00E50F2A" w:rsidTr="00C31E61">
        <w:trPr>
          <w:trHeight w:val="344"/>
        </w:trPr>
        <w:tc>
          <w:tcPr>
            <w:tcW w:w="7312" w:type="dxa"/>
            <w:gridSpan w:val="4"/>
            <w:vAlign w:val="center"/>
          </w:tcPr>
          <w:p w:rsidR="00E50F2A" w:rsidRDefault="00E50F2A" w:rsidP="00E5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Average Enrolment percentage</w:t>
            </w:r>
          </w:p>
        </w:tc>
        <w:tc>
          <w:tcPr>
            <w:tcW w:w="2329" w:type="dxa"/>
            <w:vAlign w:val="center"/>
          </w:tcPr>
          <w:p w:rsidR="00E50F2A" w:rsidRDefault="00164BF2" w:rsidP="00E5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66.53</w:t>
            </w:r>
            <w:r w:rsidR="009D2024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9523EA" w:rsidRDefault="009523EA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B9563A" w:rsidRPr="00576CE2" w:rsidRDefault="00B9563A" w:rsidP="00B9563A">
      <w:pPr>
        <w:rPr>
          <w:b/>
        </w:rPr>
      </w:pPr>
      <w:r>
        <w:t>Note</w:t>
      </w:r>
      <w:r w:rsidRPr="00576CE2">
        <w:rPr>
          <w:b/>
        </w:rPr>
        <w:t xml:space="preserve">:  UG: </w:t>
      </w:r>
      <w:r>
        <w:rPr>
          <w:b/>
        </w:rPr>
        <w:t>B.E.</w:t>
      </w:r>
      <w:r w:rsidRPr="00576CE2">
        <w:rPr>
          <w:b/>
        </w:rPr>
        <w:t xml:space="preserve"> PG: MBA and </w:t>
      </w:r>
      <w:proofErr w:type="spellStart"/>
      <w:r w:rsidRPr="00576CE2">
        <w:rPr>
          <w:b/>
        </w:rPr>
        <w:t>M.Tech</w:t>
      </w:r>
      <w:proofErr w:type="spellEnd"/>
    </w:p>
    <w:p w:rsidR="00FA29F0" w:rsidRDefault="00FA29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A29F0" w:rsidRDefault="00FA29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A29F0" w:rsidRDefault="00FA29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A29F0" w:rsidRDefault="00FA29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A29F0" w:rsidRPr="00FA29F0" w:rsidRDefault="00FA29F0">
      <w:pPr>
        <w:widowControl/>
        <w:rPr>
          <w:rFonts w:ascii="Times New Roman" w:eastAsia="Times New Roman" w:hAnsi="Times New Roman" w:cs="Times New Roman"/>
          <w:b/>
          <w:sz w:val="30"/>
          <w:szCs w:val="24"/>
        </w:rPr>
      </w:pPr>
      <w:r w:rsidRPr="00FA29F0">
        <w:rPr>
          <w:rFonts w:ascii="Times New Roman" w:eastAsia="Times New Roman" w:hAnsi="Times New Roman" w:cs="Times New Roman"/>
          <w:b/>
          <w:sz w:val="30"/>
          <w:szCs w:val="24"/>
        </w:rPr>
        <w:tab/>
      </w:r>
      <w:r w:rsidRPr="00FA29F0">
        <w:rPr>
          <w:rFonts w:ascii="Times New Roman" w:eastAsia="Times New Roman" w:hAnsi="Times New Roman" w:cs="Times New Roman"/>
          <w:b/>
          <w:sz w:val="30"/>
          <w:szCs w:val="24"/>
        </w:rPr>
        <w:tab/>
      </w:r>
      <w:r w:rsidRPr="00FA29F0">
        <w:rPr>
          <w:rFonts w:ascii="Times New Roman" w:eastAsia="Times New Roman" w:hAnsi="Times New Roman" w:cs="Times New Roman"/>
          <w:b/>
          <w:sz w:val="30"/>
          <w:szCs w:val="24"/>
        </w:rPr>
        <w:tab/>
      </w:r>
      <w:r w:rsidRPr="00FA29F0">
        <w:rPr>
          <w:rFonts w:ascii="Times New Roman" w:eastAsia="Times New Roman" w:hAnsi="Times New Roman" w:cs="Times New Roman"/>
          <w:b/>
          <w:sz w:val="30"/>
          <w:szCs w:val="24"/>
        </w:rPr>
        <w:tab/>
      </w:r>
      <w:r w:rsidRPr="00FA29F0">
        <w:rPr>
          <w:rFonts w:ascii="Times New Roman" w:eastAsia="Times New Roman" w:hAnsi="Times New Roman" w:cs="Times New Roman"/>
          <w:b/>
          <w:sz w:val="30"/>
          <w:szCs w:val="24"/>
        </w:rPr>
        <w:tab/>
      </w:r>
      <w:r w:rsidRPr="00FA29F0">
        <w:rPr>
          <w:rFonts w:ascii="Times New Roman" w:eastAsia="Times New Roman" w:hAnsi="Times New Roman" w:cs="Times New Roman"/>
          <w:b/>
          <w:sz w:val="30"/>
          <w:szCs w:val="24"/>
        </w:rPr>
        <w:tab/>
      </w:r>
      <w:r w:rsidRPr="00FA29F0">
        <w:rPr>
          <w:rFonts w:ascii="Times New Roman" w:eastAsia="Times New Roman" w:hAnsi="Times New Roman" w:cs="Times New Roman"/>
          <w:b/>
          <w:sz w:val="30"/>
          <w:szCs w:val="24"/>
        </w:rPr>
        <w:tab/>
      </w:r>
      <w:r w:rsidRPr="00FA29F0">
        <w:rPr>
          <w:rFonts w:ascii="Times New Roman" w:eastAsia="Times New Roman" w:hAnsi="Times New Roman" w:cs="Times New Roman"/>
          <w:b/>
          <w:sz w:val="30"/>
          <w:szCs w:val="24"/>
        </w:rPr>
        <w:tab/>
      </w:r>
      <w:r w:rsidRPr="00FA29F0">
        <w:rPr>
          <w:rFonts w:ascii="Times New Roman" w:eastAsia="Times New Roman" w:hAnsi="Times New Roman" w:cs="Times New Roman"/>
          <w:b/>
          <w:sz w:val="30"/>
          <w:szCs w:val="24"/>
        </w:rPr>
        <w:tab/>
      </w:r>
      <w:r w:rsidRPr="00FA29F0">
        <w:rPr>
          <w:rFonts w:ascii="Times New Roman" w:eastAsia="Times New Roman" w:hAnsi="Times New Roman" w:cs="Times New Roman"/>
          <w:b/>
          <w:sz w:val="30"/>
          <w:szCs w:val="24"/>
        </w:rPr>
        <w:tab/>
        <w:t>PRINCIPAL</w:t>
      </w:r>
    </w:p>
    <w:p w:rsidR="00FA29F0" w:rsidRDefault="00FA29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A29F0" w:rsidRDefault="00FA29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A29F0" w:rsidRDefault="00FA29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A29F0" w:rsidRDefault="00FA29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A29F0" w:rsidRDefault="00FA29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A29F0" w:rsidRDefault="00FA29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A29F0" w:rsidRDefault="00FA29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A29F0" w:rsidRDefault="00FA29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A29F0" w:rsidRDefault="00FA29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A29F0" w:rsidRDefault="00FA29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A29F0" w:rsidRDefault="00FA29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A29F0" w:rsidRDefault="00FA29F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FA29F0" w:rsidRDefault="00984A99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  <w:lang w:bidi="ar-SA"/>
        </w:rPr>
        <w:lastRenderedPageBreak/>
        <w:pict>
          <v:shape id="AutoShape 3" o:spid="_x0000_s1027" type="#_x0000_t32" style="position:absolute;margin-left:-26.5pt;margin-top:-.3pt;width:594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"/>
        </w:pict>
      </w:r>
    </w:p>
    <w:p w:rsidR="00FA29F0" w:rsidRPr="00DC2F8A" w:rsidRDefault="00D33FC0">
      <w:pPr>
        <w:widowControl/>
        <w:rPr>
          <w:rFonts w:eastAsia="Times New Roman" w:cs="Times New Roman"/>
          <w:b/>
          <w:sz w:val="24"/>
          <w:szCs w:val="24"/>
        </w:rPr>
      </w:pPr>
      <w:r w:rsidRPr="00DC2F8A">
        <w:rPr>
          <w:rFonts w:eastAsia="Times New Roman" w:cs="Times New Roman"/>
          <w:b/>
          <w:sz w:val="28"/>
          <w:szCs w:val="24"/>
        </w:rPr>
        <w:t xml:space="preserve">Hyperlinks of </w:t>
      </w:r>
      <w:r w:rsidR="00425C87" w:rsidRPr="00DC2F8A">
        <w:rPr>
          <w:rFonts w:eastAsia="Times New Roman" w:cs="Times New Roman"/>
          <w:b/>
          <w:sz w:val="28"/>
          <w:szCs w:val="24"/>
        </w:rPr>
        <w:t>Supporti</w:t>
      </w:r>
      <w:r w:rsidRPr="00DC2F8A">
        <w:rPr>
          <w:rFonts w:eastAsia="Times New Roman" w:cs="Times New Roman"/>
          <w:b/>
          <w:sz w:val="28"/>
          <w:szCs w:val="24"/>
        </w:rPr>
        <w:t xml:space="preserve">ng Documents for Enrolment </w:t>
      </w:r>
    </w:p>
    <w:p w:rsidR="009523EA" w:rsidRDefault="009523E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tbl>
      <w:tblPr>
        <w:tblStyle w:val="a2"/>
        <w:tblW w:w="10054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541"/>
        <w:gridCol w:w="2465"/>
        <w:gridCol w:w="2335"/>
        <w:gridCol w:w="2335"/>
      </w:tblGrid>
      <w:tr w:rsidR="009523EA">
        <w:trPr>
          <w:trHeight w:val="964"/>
        </w:trPr>
        <w:tc>
          <w:tcPr>
            <w:tcW w:w="1378" w:type="dxa"/>
          </w:tcPr>
          <w:p w:rsidR="009523EA" w:rsidRDefault="0095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39"/>
                <w:szCs w:val="39"/>
              </w:rPr>
            </w:pPr>
          </w:p>
          <w:p w:rsidR="009523EA" w:rsidRDefault="00F35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right="2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541" w:type="dxa"/>
          </w:tcPr>
          <w:p w:rsidR="009523EA" w:rsidRDefault="0095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7"/>
                <w:szCs w:val="27"/>
              </w:rPr>
            </w:pPr>
          </w:p>
          <w:p w:rsidR="009523EA" w:rsidRDefault="00F35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128" w:hanging="3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Academic Year</w:t>
            </w:r>
          </w:p>
        </w:tc>
        <w:tc>
          <w:tcPr>
            <w:tcW w:w="2465" w:type="dxa"/>
          </w:tcPr>
          <w:p w:rsidR="009523EA" w:rsidRDefault="00F35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75" w:right="268" w:firstLine="8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Extension </w:t>
            </w:r>
            <w:r w:rsidR="009D2024">
              <w:rPr>
                <w:b/>
                <w:color w:val="000000"/>
                <w:sz w:val="24"/>
                <w:szCs w:val="24"/>
              </w:rPr>
              <w:t>o</w:t>
            </w:r>
            <w:r>
              <w:rPr>
                <w:b/>
                <w:color w:val="000000"/>
                <w:sz w:val="24"/>
                <w:szCs w:val="24"/>
              </w:rPr>
              <w:t>f Approval (EOA) documents AICTE</w:t>
            </w:r>
          </w:p>
          <w:p w:rsidR="001A19C3" w:rsidRDefault="001A1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75" w:right="268" w:firstLine="8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(UG+PG)</w:t>
            </w:r>
          </w:p>
        </w:tc>
        <w:tc>
          <w:tcPr>
            <w:tcW w:w="2335" w:type="dxa"/>
          </w:tcPr>
          <w:p w:rsidR="009523EA" w:rsidRDefault="0095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7"/>
                <w:szCs w:val="27"/>
              </w:rPr>
            </w:pPr>
          </w:p>
          <w:p w:rsidR="009523EA" w:rsidRDefault="00F35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196" w:hanging="2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VTU Affiliation documents</w:t>
            </w:r>
          </w:p>
          <w:p w:rsidR="001A19C3" w:rsidRDefault="001A1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196" w:hanging="2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(UG+PG)</w:t>
            </w:r>
          </w:p>
        </w:tc>
        <w:tc>
          <w:tcPr>
            <w:tcW w:w="2335" w:type="dxa"/>
          </w:tcPr>
          <w:p w:rsidR="009523EA" w:rsidRDefault="0095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7"/>
                <w:szCs w:val="27"/>
              </w:rPr>
            </w:pPr>
          </w:p>
          <w:p w:rsidR="009523EA" w:rsidRDefault="00F35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2" w:right="255" w:hanging="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VTU approved students list</w:t>
            </w:r>
          </w:p>
          <w:p w:rsidR="001A19C3" w:rsidRDefault="001A1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2" w:right="255" w:hanging="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(UG+PG)</w:t>
            </w:r>
          </w:p>
        </w:tc>
      </w:tr>
      <w:tr w:rsidR="00D735AF">
        <w:trPr>
          <w:trHeight w:val="590"/>
        </w:trPr>
        <w:tc>
          <w:tcPr>
            <w:tcW w:w="1378" w:type="dxa"/>
            <w:vAlign w:val="center"/>
          </w:tcPr>
          <w:p w:rsidR="00D735AF" w:rsidRDefault="00D735AF" w:rsidP="00D7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:rsidR="00D735AF" w:rsidRDefault="000D3E05" w:rsidP="00D7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</w:t>
            </w:r>
          </w:p>
        </w:tc>
        <w:tc>
          <w:tcPr>
            <w:tcW w:w="2465" w:type="dxa"/>
            <w:vAlign w:val="center"/>
          </w:tcPr>
          <w:p w:rsidR="00D735AF" w:rsidRPr="005B16F1" w:rsidRDefault="00984A99" w:rsidP="00D735AF">
            <w:pPr>
              <w:jc w:val="center"/>
              <w:rPr>
                <w:sz w:val="24"/>
                <w:szCs w:val="24"/>
              </w:rPr>
            </w:pPr>
            <w:hyperlink r:id="rId8">
              <w:r w:rsidR="00D735AF" w:rsidRPr="005B16F1">
                <w:rPr>
                  <w:color w:val="0000FF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2335" w:type="dxa"/>
            <w:vAlign w:val="center"/>
          </w:tcPr>
          <w:p w:rsidR="00D735AF" w:rsidRPr="005B16F1" w:rsidRDefault="00984A99" w:rsidP="00D735AF">
            <w:pPr>
              <w:jc w:val="center"/>
              <w:rPr>
                <w:sz w:val="24"/>
                <w:szCs w:val="24"/>
              </w:rPr>
            </w:pPr>
            <w:hyperlink r:id="rId9">
              <w:r w:rsidR="00D735AF" w:rsidRPr="005B16F1">
                <w:rPr>
                  <w:color w:val="0000FF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2335" w:type="dxa"/>
            <w:vAlign w:val="center"/>
          </w:tcPr>
          <w:p w:rsidR="00D735AF" w:rsidRPr="005B16F1" w:rsidRDefault="00984A99" w:rsidP="00D735AF">
            <w:pPr>
              <w:jc w:val="center"/>
              <w:rPr>
                <w:sz w:val="24"/>
                <w:szCs w:val="24"/>
              </w:rPr>
            </w:pPr>
            <w:hyperlink r:id="rId10">
              <w:r w:rsidR="00D735AF" w:rsidRPr="005B16F1">
                <w:rPr>
                  <w:color w:val="0000FF"/>
                  <w:sz w:val="24"/>
                  <w:szCs w:val="24"/>
                </w:rPr>
                <w:t>View Document</w:t>
              </w:r>
            </w:hyperlink>
          </w:p>
        </w:tc>
      </w:tr>
      <w:tr w:rsidR="00D735AF">
        <w:trPr>
          <w:trHeight w:val="563"/>
        </w:trPr>
        <w:tc>
          <w:tcPr>
            <w:tcW w:w="1378" w:type="dxa"/>
            <w:vAlign w:val="center"/>
          </w:tcPr>
          <w:p w:rsidR="00D735AF" w:rsidRDefault="00D735AF" w:rsidP="00D7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  <w:vAlign w:val="center"/>
          </w:tcPr>
          <w:p w:rsidR="00D735AF" w:rsidRDefault="000D3E05" w:rsidP="00D7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</w:t>
            </w:r>
          </w:p>
        </w:tc>
        <w:tc>
          <w:tcPr>
            <w:tcW w:w="2465" w:type="dxa"/>
            <w:vAlign w:val="center"/>
          </w:tcPr>
          <w:p w:rsidR="00D735AF" w:rsidRPr="005B16F1" w:rsidRDefault="00984A99" w:rsidP="00D735A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D735AF" w:rsidRPr="005B16F1">
                <w:rPr>
                  <w:rStyle w:val="Hyperlink"/>
                  <w:sz w:val="24"/>
                  <w:szCs w:val="24"/>
                  <w:u w:val="none"/>
                </w:rPr>
                <w:t>View Document</w:t>
              </w:r>
            </w:hyperlink>
          </w:p>
        </w:tc>
        <w:tc>
          <w:tcPr>
            <w:tcW w:w="2335" w:type="dxa"/>
            <w:vAlign w:val="center"/>
          </w:tcPr>
          <w:p w:rsidR="00D735AF" w:rsidRPr="005B16F1" w:rsidRDefault="00984A99" w:rsidP="00D735AF">
            <w:pPr>
              <w:jc w:val="center"/>
              <w:rPr>
                <w:sz w:val="24"/>
                <w:szCs w:val="24"/>
              </w:rPr>
            </w:pPr>
            <w:hyperlink r:id="rId12">
              <w:r w:rsidR="00D735AF" w:rsidRPr="005B16F1">
                <w:rPr>
                  <w:color w:val="0000FF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2335" w:type="dxa"/>
            <w:vAlign w:val="center"/>
          </w:tcPr>
          <w:p w:rsidR="00D735AF" w:rsidRPr="005B16F1" w:rsidRDefault="00984A99" w:rsidP="00D735AF">
            <w:pPr>
              <w:jc w:val="center"/>
              <w:rPr>
                <w:sz w:val="24"/>
                <w:szCs w:val="24"/>
              </w:rPr>
            </w:pPr>
            <w:hyperlink r:id="rId13">
              <w:r w:rsidR="00D735AF" w:rsidRPr="005B16F1">
                <w:rPr>
                  <w:color w:val="0000FF"/>
                  <w:sz w:val="24"/>
                  <w:szCs w:val="24"/>
                </w:rPr>
                <w:t>View Document</w:t>
              </w:r>
            </w:hyperlink>
          </w:p>
        </w:tc>
      </w:tr>
      <w:tr w:rsidR="00D735AF">
        <w:trPr>
          <w:trHeight w:val="562"/>
        </w:trPr>
        <w:tc>
          <w:tcPr>
            <w:tcW w:w="1378" w:type="dxa"/>
            <w:vAlign w:val="center"/>
          </w:tcPr>
          <w:p w:rsidR="00D735AF" w:rsidRDefault="00D735AF" w:rsidP="00D7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  <w:vAlign w:val="center"/>
          </w:tcPr>
          <w:p w:rsidR="00D735AF" w:rsidRDefault="000D3E05" w:rsidP="00D7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2018-19</w:t>
            </w:r>
          </w:p>
        </w:tc>
        <w:tc>
          <w:tcPr>
            <w:tcW w:w="2465" w:type="dxa"/>
            <w:vAlign w:val="center"/>
          </w:tcPr>
          <w:p w:rsidR="00D735AF" w:rsidRPr="005B16F1" w:rsidRDefault="00984A99" w:rsidP="00D735AF">
            <w:pPr>
              <w:jc w:val="center"/>
              <w:rPr>
                <w:sz w:val="24"/>
                <w:szCs w:val="24"/>
              </w:rPr>
            </w:pPr>
            <w:hyperlink r:id="rId14">
              <w:r w:rsidR="00D735AF" w:rsidRPr="005B16F1">
                <w:rPr>
                  <w:color w:val="0000FF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2335" w:type="dxa"/>
            <w:vAlign w:val="center"/>
          </w:tcPr>
          <w:p w:rsidR="00D735AF" w:rsidRPr="005B16F1" w:rsidRDefault="00984A99" w:rsidP="00D735AF">
            <w:pPr>
              <w:jc w:val="center"/>
              <w:rPr>
                <w:sz w:val="24"/>
                <w:szCs w:val="24"/>
              </w:rPr>
            </w:pPr>
            <w:hyperlink r:id="rId15">
              <w:r w:rsidR="00D735AF" w:rsidRPr="005B16F1">
                <w:rPr>
                  <w:color w:val="0000FF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2335" w:type="dxa"/>
            <w:vAlign w:val="center"/>
          </w:tcPr>
          <w:p w:rsidR="00D735AF" w:rsidRPr="005B16F1" w:rsidRDefault="00984A99" w:rsidP="00D735AF">
            <w:pPr>
              <w:jc w:val="center"/>
              <w:rPr>
                <w:sz w:val="24"/>
                <w:szCs w:val="24"/>
              </w:rPr>
            </w:pPr>
            <w:hyperlink r:id="rId16">
              <w:r w:rsidR="00D735AF" w:rsidRPr="005B16F1">
                <w:rPr>
                  <w:color w:val="0000FF"/>
                  <w:sz w:val="24"/>
                  <w:szCs w:val="24"/>
                </w:rPr>
                <w:t>View Document</w:t>
              </w:r>
            </w:hyperlink>
          </w:p>
        </w:tc>
      </w:tr>
      <w:tr w:rsidR="00D735AF">
        <w:trPr>
          <w:trHeight w:val="564"/>
        </w:trPr>
        <w:tc>
          <w:tcPr>
            <w:tcW w:w="1378" w:type="dxa"/>
            <w:vAlign w:val="center"/>
          </w:tcPr>
          <w:p w:rsidR="00D735AF" w:rsidRDefault="00D735AF" w:rsidP="00D7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41" w:type="dxa"/>
            <w:vAlign w:val="center"/>
          </w:tcPr>
          <w:p w:rsidR="00D735AF" w:rsidRDefault="000D3E05" w:rsidP="00D7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2465" w:type="dxa"/>
            <w:vAlign w:val="center"/>
          </w:tcPr>
          <w:p w:rsidR="00D735AF" w:rsidRPr="005B16F1" w:rsidRDefault="00984A99" w:rsidP="00D735AF">
            <w:pPr>
              <w:jc w:val="center"/>
              <w:rPr>
                <w:sz w:val="24"/>
                <w:szCs w:val="24"/>
              </w:rPr>
            </w:pPr>
            <w:hyperlink r:id="rId17">
              <w:r w:rsidR="00D735AF" w:rsidRPr="005B16F1">
                <w:rPr>
                  <w:color w:val="0000FF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2335" w:type="dxa"/>
            <w:vAlign w:val="center"/>
          </w:tcPr>
          <w:p w:rsidR="00D735AF" w:rsidRPr="005B16F1" w:rsidRDefault="00984A99" w:rsidP="00D735AF">
            <w:pPr>
              <w:jc w:val="center"/>
              <w:rPr>
                <w:sz w:val="24"/>
                <w:szCs w:val="24"/>
              </w:rPr>
            </w:pPr>
            <w:hyperlink r:id="rId18">
              <w:r w:rsidR="00D735AF" w:rsidRPr="005B16F1">
                <w:rPr>
                  <w:color w:val="0000FF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2335" w:type="dxa"/>
            <w:vAlign w:val="center"/>
          </w:tcPr>
          <w:p w:rsidR="00D735AF" w:rsidRPr="005B16F1" w:rsidRDefault="00984A99" w:rsidP="00D735AF">
            <w:pPr>
              <w:jc w:val="center"/>
              <w:rPr>
                <w:sz w:val="24"/>
                <w:szCs w:val="24"/>
              </w:rPr>
            </w:pPr>
            <w:hyperlink r:id="rId19">
              <w:r w:rsidR="00D735AF" w:rsidRPr="005B16F1">
                <w:rPr>
                  <w:color w:val="0000FF"/>
                  <w:sz w:val="24"/>
                  <w:szCs w:val="24"/>
                </w:rPr>
                <w:t>View Document</w:t>
              </w:r>
            </w:hyperlink>
            <w:bookmarkStart w:id="0" w:name="_GoBack"/>
            <w:bookmarkEnd w:id="0"/>
          </w:p>
        </w:tc>
      </w:tr>
      <w:tr w:rsidR="00D735AF">
        <w:trPr>
          <w:trHeight w:val="563"/>
        </w:trPr>
        <w:tc>
          <w:tcPr>
            <w:tcW w:w="1378" w:type="dxa"/>
            <w:vAlign w:val="center"/>
          </w:tcPr>
          <w:p w:rsidR="00D735AF" w:rsidRDefault="00D735AF" w:rsidP="00D7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41" w:type="dxa"/>
            <w:vAlign w:val="center"/>
          </w:tcPr>
          <w:p w:rsidR="00D735AF" w:rsidRDefault="000D3E05" w:rsidP="00D7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2016-17</w:t>
            </w:r>
          </w:p>
        </w:tc>
        <w:tc>
          <w:tcPr>
            <w:tcW w:w="2465" w:type="dxa"/>
            <w:vAlign w:val="center"/>
          </w:tcPr>
          <w:p w:rsidR="00D735AF" w:rsidRPr="005B16F1" w:rsidRDefault="00984A99" w:rsidP="00D735AF">
            <w:pPr>
              <w:jc w:val="center"/>
              <w:rPr>
                <w:sz w:val="24"/>
                <w:szCs w:val="24"/>
              </w:rPr>
            </w:pPr>
            <w:hyperlink r:id="rId20">
              <w:r w:rsidR="00D735AF" w:rsidRPr="005B16F1">
                <w:rPr>
                  <w:color w:val="0000FF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2335" w:type="dxa"/>
            <w:vAlign w:val="center"/>
          </w:tcPr>
          <w:p w:rsidR="00D735AF" w:rsidRPr="005B16F1" w:rsidRDefault="00984A99" w:rsidP="00D735AF">
            <w:pPr>
              <w:jc w:val="center"/>
              <w:rPr>
                <w:sz w:val="24"/>
                <w:szCs w:val="24"/>
              </w:rPr>
            </w:pPr>
            <w:hyperlink r:id="rId21">
              <w:r w:rsidR="00D735AF" w:rsidRPr="005B16F1">
                <w:rPr>
                  <w:color w:val="0000FF"/>
                  <w:sz w:val="24"/>
                  <w:szCs w:val="24"/>
                </w:rPr>
                <w:t>View Document</w:t>
              </w:r>
            </w:hyperlink>
          </w:p>
        </w:tc>
        <w:tc>
          <w:tcPr>
            <w:tcW w:w="2335" w:type="dxa"/>
            <w:vAlign w:val="center"/>
          </w:tcPr>
          <w:p w:rsidR="00D735AF" w:rsidRPr="005B16F1" w:rsidRDefault="00984A99" w:rsidP="00D735AF">
            <w:pPr>
              <w:jc w:val="center"/>
              <w:rPr>
                <w:sz w:val="24"/>
                <w:szCs w:val="24"/>
              </w:rPr>
            </w:pPr>
            <w:hyperlink r:id="rId22">
              <w:r w:rsidR="00D735AF" w:rsidRPr="005B16F1">
                <w:rPr>
                  <w:color w:val="0000FF"/>
                  <w:sz w:val="24"/>
                  <w:szCs w:val="24"/>
                </w:rPr>
                <w:t>View Document</w:t>
              </w:r>
            </w:hyperlink>
          </w:p>
        </w:tc>
      </w:tr>
    </w:tbl>
    <w:p w:rsidR="009523EA" w:rsidRDefault="009523EA"/>
    <w:p w:rsidR="001A19C3" w:rsidRPr="00576CE2" w:rsidRDefault="001A19C3">
      <w:pPr>
        <w:rPr>
          <w:b/>
        </w:rPr>
      </w:pPr>
      <w:r>
        <w:t>Note</w:t>
      </w:r>
      <w:r w:rsidRPr="00576CE2">
        <w:rPr>
          <w:b/>
        </w:rPr>
        <w:t xml:space="preserve">:  UG: </w:t>
      </w:r>
      <w:r w:rsidR="006E3ED4">
        <w:rPr>
          <w:b/>
        </w:rPr>
        <w:t>B.E.</w:t>
      </w:r>
      <w:proofErr w:type="gramStart"/>
      <w:r w:rsidR="00F93C9E">
        <w:rPr>
          <w:b/>
        </w:rPr>
        <w:t>,</w:t>
      </w:r>
      <w:r w:rsidRPr="00576CE2">
        <w:rPr>
          <w:b/>
        </w:rPr>
        <w:t>PG</w:t>
      </w:r>
      <w:proofErr w:type="gramEnd"/>
      <w:r w:rsidRPr="00576CE2">
        <w:rPr>
          <w:b/>
        </w:rPr>
        <w:t xml:space="preserve">: MBA and </w:t>
      </w:r>
      <w:proofErr w:type="spellStart"/>
      <w:r w:rsidRPr="00576CE2">
        <w:rPr>
          <w:b/>
        </w:rPr>
        <w:t>M.Tech</w:t>
      </w:r>
      <w:proofErr w:type="spellEnd"/>
    </w:p>
    <w:sectPr w:rsidR="001A19C3" w:rsidRPr="00576CE2" w:rsidSect="002379D6">
      <w:headerReference w:type="default" r:id="rId23"/>
      <w:pgSz w:w="11910" w:h="16840"/>
      <w:pgMar w:top="280" w:right="720" w:bottom="280" w:left="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A99" w:rsidRDefault="00984A99">
      <w:r>
        <w:separator/>
      </w:r>
    </w:p>
  </w:endnote>
  <w:endnote w:type="continuationSeparator" w:id="0">
    <w:p w:rsidR="00984A99" w:rsidRDefault="0098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A99" w:rsidRDefault="00984A99">
      <w:r>
        <w:separator/>
      </w:r>
    </w:p>
  </w:footnote>
  <w:footnote w:type="continuationSeparator" w:id="0">
    <w:p w:rsidR="00984A99" w:rsidRDefault="00984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3EA" w:rsidRDefault="00F354B1">
    <w:pPr>
      <w:pBdr>
        <w:top w:val="nil"/>
        <w:left w:val="nil"/>
        <w:bottom w:val="nil"/>
        <w:right w:val="nil"/>
        <w:between w:val="nil"/>
      </w:pBdr>
      <w:spacing w:before="9"/>
      <w:rPr>
        <w:b/>
        <w:sz w:val="20"/>
        <w:szCs w:val="20"/>
      </w:rPr>
    </w:pPr>
    <w:r>
      <w:rPr>
        <w:b/>
        <w:color w:val="538DD3"/>
        <w:sz w:val="30"/>
        <w:szCs w:val="30"/>
      </w:rPr>
      <w:t>ALVA’S INSTITUTE OF ENGINEERING &amp; TECHNOLOGY</w:t>
    </w:r>
    <w:r>
      <w:rPr>
        <w:noProof/>
        <w:lang w:val="en-IN" w:eastAsia="en-IN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15240</wp:posOffset>
          </wp:positionV>
          <wp:extent cx="885825" cy="718503"/>
          <wp:effectExtent l="0" t="0" r="0" b="0"/>
          <wp:wrapSquare wrapText="bothSides" distT="0" distB="0" distL="0" distR="0"/>
          <wp:docPr id="7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7185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523EA" w:rsidRDefault="00F354B1">
    <w:pPr>
      <w:ind w:left="2073"/>
      <w:rPr>
        <w:b/>
        <w:sz w:val="26"/>
        <w:szCs w:val="26"/>
      </w:rPr>
    </w:pPr>
    <w:proofErr w:type="spellStart"/>
    <w:r>
      <w:rPr>
        <w:b/>
        <w:color w:val="538DD3"/>
        <w:sz w:val="26"/>
        <w:szCs w:val="26"/>
      </w:rPr>
      <w:t>Shobhavana</w:t>
    </w:r>
    <w:proofErr w:type="spellEnd"/>
    <w:r>
      <w:rPr>
        <w:b/>
        <w:color w:val="538DD3"/>
        <w:sz w:val="26"/>
        <w:szCs w:val="26"/>
      </w:rPr>
      <w:t xml:space="preserve"> Campus, </w:t>
    </w:r>
    <w:proofErr w:type="spellStart"/>
    <w:r>
      <w:rPr>
        <w:b/>
        <w:color w:val="538DD3"/>
        <w:sz w:val="26"/>
        <w:szCs w:val="26"/>
      </w:rPr>
      <w:t>Mijar</w:t>
    </w:r>
    <w:proofErr w:type="spellEnd"/>
    <w:r>
      <w:rPr>
        <w:b/>
        <w:color w:val="538DD3"/>
        <w:sz w:val="26"/>
        <w:szCs w:val="26"/>
      </w:rPr>
      <w:t xml:space="preserve">, </w:t>
    </w:r>
    <w:proofErr w:type="spellStart"/>
    <w:r>
      <w:rPr>
        <w:b/>
        <w:color w:val="538DD3"/>
        <w:sz w:val="26"/>
        <w:szCs w:val="26"/>
      </w:rPr>
      <w:t>Moodbidri</w:t>
    </w:r>
    <w:proofErr w:type="spellEnd"/>
    <w:r>
      <w:rPr>
        <w:b/>
        <w:color w:val="538DD3"/>
        <w:sz w:val="26"/>
        <w:szCs w:val="26"/>
      </w:rPr>
      <w:t>, D.K – 574225</w:t>
    </w:r>
  </w:p>
  <w:p w:rsidR="009523EA" w:rsidRDefault="00F354B1">
    <w:pPr>
      <w:spacing w:before="1"/>
      <w:ind w:left="4092"/>
      <w:rPr>
        <w:b/>
        <w:sz w:val="20"/>
        <w:szCs w:val="20"/>
      </w:rPr>
    </w:pPr>
    <w:r>
      <w:rPr>
        <w:b/>
        <w:color w:val="538DD3"/>
        <w:sz w:val="20"/>
        <w:szCs w:val="20"/>
      </w:rPr>
      <w:t>Phone: 08258-262725, Fax: 08258-262726</w:t>
    </w:r>
  </w:p>
  <w:p w:rsidR="009523EA" w:rsidRDefault="00F354B1">
    <w:pPr>
      <w:ind w:left="2056"/>
      <w:rPr>
        <w:b/>
        <w:sz w:val="32"/>
        <w:szCs w:val="32"/>
      </w:rPr>
    </w:pPr>
    <w:r>
      <w:rPr>
        <w:b/>
        <w:color w:val="FF0000"/>
        <w:sz w:val="32"/>
        <w:szCs w:val="32"/>
      </w:rPr>
      <w:t>QUALITY INDICATOR FRAMEWORK (QIF)</w:t>
    </w:r>
  </w:p>
  <w:p w:rsidR="009523EA" w:rsidRDefault="009523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53338"/>
    <w:multiLevelType w:val="hybridMultilevel"/>
    <w:tmpl w:val="6ADE49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804D4"/>
    <w:multiLevelType w:val="hybridMultilevel"/>
    <w:tmpl w:val="D69CDED0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3EA"/>
    <w:rsid w:val="0008252B"/>
    <w:rsid w:val="000D3E05"/>
    <w:rsid w:val="00164BF2"/>
    <w:rsid w:val="00181DD0"/>
    <w:rsid w:val="001A19C3"/>
    <w:rsid w:val="001D1AEA"/>
    <w:rsid w:val="00226DE5"/>
    <w:rsid w:val="002379D6"/>
    <w:rsid w:val="00252482"/>
    <w:rsid w:val="002B5A08"/>
    <w:rsid w:val="002F36A2"/>
    <w:rsid w:val="00343FFD"/>
    <w:rsid w:val="00345B0B"/>
    <w:rsid w:val="003617E0"/>
    <w:rsid w:val="00425C87"/>
    <w:rsid w:val="004571C9"/>
    <w:rsid w:val="004A0A7B"/>
    <w:rsid w:val="005016C1"/>
    <w:rsid w:val="00576CE2"/>
    <w:rsid w:val="005B16F1"/>
    <w:rsid w:val="006072D4"/>
    <w:rsid w:val="006928E9"/>
    <w:rsid w:val="006D0B8F"/>
    <w:rsid w:val="006E3ED4"/>
    <w:rsid w:val="00802B3D"/>
    <w:rsid w:val="008F026F"/>
    <w:rsid w:val="009523EA"/>
    <w:rsid w:val="00984A99"/>
    <w:rsid w:val="009D2024"/>
    <w:rsid w:val="00A00F03"/>
    <w:rsid w:val="00A05639"/>
    <w:rsid w:val="00B47B4C"/>
    <w:rsid w:val="00B76EAB"/>
    <w:rsid w:val="00B77774"/>
    <w:rsid w:val="00B9563A"/>
    <w:rsid w:val="00BA578A"/>
    <w:rsid w:val="00C31E61"/>
    <w:rsid w:val="00C64078"/>
    <w:rsid w:val="00D00DAA"/>
    <w:rsid w:val="00D11266"/>
    <w:rsid w:val="00D33FC0"/>
    <w:rsid w:val="00D40B7D"/>
    <w:rsid w:val="00D735AF"/>
    <w:rsid w:val="00DB0715"/>
    <w:rsid w:val="00DC2F8A"/>
    <w:rsid w:val="00E022FB"/>
    <w:rsid w:val="00E50F2A"/>
    <w:rsid w:val="00F06BB3"/>
    <w:rsid w:val="00F354B1"/>
    <w:rsid w:val="00F37960"/>
    <w:rsid w:val="00F93C9E"/>
    <w:rsid w:val="00F93E6B"/>
    <w:rsid w:val="00FA29F0"/>
    <w:rsid w:val="00FD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."/>
  <w:listSeparator w:val=","/>
  <w15:docId w15:val="{D887DEEA-7759-4462-BD05-8F03AE2F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75DA"/>
    <w:rPr>
      <w:lang w:bidi="en-US"/>
    </w:rPr>
  </w:style>
  <w:style w:type="paragraph" w:styleId="Heading1">
    <w:name w:val="heading 1"/>
    <w:basedOn w:val="Normal1"/>
    <w:next w:val="Normal1"/>
    <w:rsid w:val="00743B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43B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43B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43B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43B2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43B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743B2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743B2B"/>
  </w:style>
  <w:style w:type="paragraph" w:styleId="BodyText">
    <w:name w:val="Body Text"/>
    <w:basedOn w:val="Normal"/>
    <w:uiPriority w:val="1"/>
    <w:qFormat/>
    <w:rsid w:val="009E75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75DA"/>
  </w:style>
  <w:style w:type="paragraph" w:customStyle="1" w:styleId="TableParagraph">
    <w:name w:val="Table Paragraph"/>
    <w:basedOn w:val="Normal"/>
    <w:uiPriority w:val="1"/>
    <w:qFormat/>
    <w:rsid w:val="009E75DA"/>
    <w:pPr>
      <w:spacing w:before="210"/>
      <w:ind w:left="9"/>
    </w:pPr>
    <w:rPr>
      <w:u w:val="single" w:color="000000"/>
    </w:rPr>
  </w:style>
  <w:style w:type="paragraph" w:styleId="NormalWeb">
    <w:name w:val="Normal (Web)"/>
    <w:basedOn w:val="Normal"/>
    <w:uiPriority w:val="99"/>
    <w:unhideWhenUsed/>
    <w:rsid w:val="00B538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bidi="ar-SA"/>
    </w:rPr>
  </w:style>
  <w:style w:type="paragraph" w:styleId="Subtitle">
    <w:name w:val="Subtitle"/>
    <w:basedOn w:val="Normal"/>
    <w:next w:val="Normal"/>
    <w:rsid w:val="002379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43B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43B2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AE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F6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9AE"/>
    <w:rPr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8F6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9AE"/>
    <w:rPr>
      <w:lang w:bidi="en-US"/>
    </w:rPr>
  </w:style>
  <w:style w:type="table" w:customStyle="1" w:styleId="a1">
    <w:basedOn w:val="TableNormal"/>
    <w:rsid w:val="002379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2379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B1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2/2.1.1/AICTE%20APPROVAL%20LETTERS/2020-21.pdf" TargetMode="External"/><Relationship Id="rId13" Type="http://schemas.openxmlformats.org/officeDocument/2006/relationships/hyperlink" Target="https://cloud.aiet.org.in/storage/NAAC/criteria-2/2.1.1/SUPPORTING%20DOCUMENT/2019-20.pdf" TargetMode="External"/><Relationship Id="rId18" Type="http://schemas.openxmlformats.org/officeDocument/2006/relationships/hyperlink" Target="https://cloud.aiet.org.in/storage/NAAC/criteria-2/2.1.1/VTU%20APPROVAL%20LETTERS/2017-18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aiet.org.in/storage/NAAC/criteria-2/2.1.1/VTU%20APPROVAL%20LETTERS/2016-17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criteria-2/2.1.1/VTU%20APPROVAL%20LETTERS/2019-20.pdf" TargetMode="External"/><Relationship Id="rId17" Type="http://schemas.openxmlformats.org/officeDocument/2006/relationships/hyperlink" Target="https://cloud.aiet.org.in/storage/NAAC/criteria-2/2.1.1/AICTE%20APPROVAL%20LETTERS/2017-18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criteria-2/2.1.1/SUPPORTING%20DOCUMENT/2018-19.pdf" TargetMode="External"/><Relationship Id="rId20" Type="http://schemas.openxmlformats.org/officeDocument/2006/relationships/hyperlink" Target="https://cloud.aiet.org.in/storage/NAAC/criteria-2/2.1.1/AICTE%20APPROVAL%20LETTERS/2016-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criteria-2/2.1.1/AICTE%20APPROVAL%20LETTERS/2019-20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criteria-2/2.1.1/VTU%20APPROVAL%20LETTERS/2018-19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cloud.aiet.org.in/storage/NAAC/criteria-2/2.1.1/SUPPORTING%20DOCUMENT/2020-21.pdf" TargetMode="External"/><Relationship Id="rId19" Type="http://schemas.openxmlformats.org/officeDocument/2006/relationships/hyperlink" Target="https://cloud.aiet.org.in/storage/NAAC/criteria-2/2.1.1/SUPPORTING%20DOCUMENT/2017-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2/2.1.1/VTU%20APPROVAL%20LETTERS/2020-21.pdf" TargetMode="External"/><Relationship Id="rId14" Type="http://schemas.openxmlformats.org/officeDocument/2006/relationships/hyperlink" Target="https://cloud.aiet.org.in/storage/NAAC/criteria-2/2.1.1/AICTE%20APPROVAL%20LETTERS/2018-19.pdf" TargetMode="External"/><Relationship Id="rId22" Type="http://schemas.openxmlformats.org/officeDocument/2006/relationships/hyperlink" Target="https://cloud.aiet.org.in/storage/NAAC/criteria-2/2.1.1/SUPPORTING%20DOCUMENT/2016-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QqyNvLvf80+xdHOevf2k8QUfxQ==">AMUW2mUWZzIbRhNmDfaFyuwjh7qZgomEl4XhlAaR61Ip/c0MFGUkXIOLkXHskpc2OtZxQc4/TsC9+AqiCn1U7wOW0h0VtWO4/yuSSFHRdO0WKO1dSyxMDw0=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AIET</cp:lastModifiedBy>
  <cp:revision>8</cp:revision>
  <dcterms:created xsi:type="dcterms:W3CDTF">2022-03-16T04:02:00Z</dcterms:created>
  <dcterms:modified xsi:type="dcterms:W3CDTF">2022-04-07T09:26:00Z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2020-03-17T00:00:00Z</vt:filetime>
  </property>
</Properties>
</file>