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DESIGN AND ANALYSIS OF ALGORITHMS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Algorithm analysis is an important part of a broader computational complexity theory, which provides theoretical estimates for the resources needed by any algorithm which solves a given computational problem. These estimates provide an insight into reasonable directions of search for efficient algorithms.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Algorithms are used in every part of computer science. They form the field's backbone. In computer science, an algorithm gives the computer a specific set of instructions, which allows the computer to do everything, be it running a calculator or running a rocket.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When solving a problem, choosing the right approach is often the key to arriving at the best solution. In psychology, one of these problem-solving approaches is known as an algorithm. An algorithm is a defined set of step-by-step procedures that provides the correct answer to a particular problem.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D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PO12:</w:t>
              <w:tab/>
              <w:t xml:space="preserve">Life-long</w:t>
            </w:r>
          </w:p>
          <w:p w:rsidR="00000000" w:rsidDel="00000000" w:rsidP="00000000" w:rsidRDefault="00000000" w:rsidRPr="00000000" w14:paraId="0000001E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4.45312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B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7">
            <w:pPr>
              <w:widowControl w:val="1"/>
              <w:spacing w:after="60" w:lineRule="auto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CO1:Understand the performance analysis of algorithms by applying asymptotic notations.</w:t>
            </w:r>
          </w:p>
          <w:p w:rsidR="00000000" w:rsidDel="00000000" w:rsidP="00000000" w:rsidRDefault="00000000" w:rsidRPr="00000000" w14:paraId="00000098">
            <w:pPr>
              <w:widowControl w:val="1"/>
              <w:spacing w:after="60" w:lineRule="auto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CO2:Describe computational solution to well-known problems using divide and conquer method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Bookman Old Style" w:cs="Bookman Old Style" w:eastAsia="Bookman Old Style" w:hAnsi="Bookman Old Styl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CO3:Analyse the performance of various greedy algorithms.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Bookman Old Style" w:cs="Bookman Old Style" w:eastAsia="Bookman Old Style" w:hAnsi="Bookman Old Styl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CO4:Design and analyse dynamic-programming algorithms.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spacing w:after="60" w:lineRule="auto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CO5:Estimate the computational complexity of different algorithms.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1"/>
              <w:spacing w:after="60" w:lineRule="auto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widowControl w:val="1"/>
              <w:spacing w:after="60" w:lineRule="auto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5288284</wp:posOffset>
                </wp:positionH>
                <wp:positionV relativeFrom="page">
                  <wp:posOffset>1468124</wp:posOffset>
                </wp:positionV>
                <wp:extent cx="186054" cy="20383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5288284</wp:posOffset>
                </wp:positionH>
                <wp:positionV relativeFrom="page">
                  <wp:posOffset>1468124</wp:posOffset>
                </wp:positionV>
                <wp:extent cx="186054" cy="20383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054" cy="203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45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acHJhi9p10R29rDwiePwjOmQQg==">AMUW2mVxlufzbCQYOZWAaPwV+25Zq8v+kPGRWhrCG3cg4nLiqEwBKfnRTA+NFeiNPs0lc/PjfRSLsnVOaYKB7BVWrnB80eX/5wGG9GDfVPjrig15UpSakYg=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