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45"/>
        <w:gridCol w:w="2205"/>
        <w:gridCol w:w="1980"/>
        <w:tblGridChange w:id="0">
          <w:tblGrid>
            <w:gridCol w:w="540"/>
            <w:gridCol w:w="2159"/>
            <w:gridCol w:w="2431"/>
            <w:gridCol w:w="2160"/>
            <w:gridCol w:w="1845"/>
            <w:gridCol w:w="220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Vyavaharika Kannada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  <w:rtl w:val="0"/>
              </w:rPr>
              <w:t xml:space="preserve">The student will be able to understand Kannada and communicate in Kannada language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  <w:rtl w:val="0"/>
              </w:rPr>
              <w:t xml:space="preserve">The students can learn engineering subjects in their mother tongue,so that understand more.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rPr>
                <w:shd w:fill="fdfdb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1D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 PO12:</w:t>
              <w:tab/>
              <w:t xml:space="preserve">Life-long</w:t>
            </w:r>
          </w:p>
          <w:p w:rsidR="00000000" w:rsidDel="00000000" w:rsidP="00000000" w:rsidRDefault="00000000" w:rsidRPr="00000000" w14:paraId="0000001E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CO1:Understand about Aadalitha Kannada.</w:t>
            </w:r>
          </w:p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CO2:Understand the grammar of Kannada language</w:t>
            </w:r>
          </w:p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CO3:Remember about how to use punctuation in articles.</w:t>
            </w:r>
          </w:p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CO4:Understand about how to write applications and letters for Government and semi-Government offices for different purposes.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1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widowControl w:val="1"/>
              <w:spacing w:line="259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5297808</wp:posOffset>
                </wp:positionH>
                <wp:positionV relativeFrom="page">
                  <wp:posOffset>1477648</wp:posOffset>
                </wp:positionV>
                <wp:extent cx="167004" cy="18478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4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1phmy4Tc5ru0uQrtOQKfTyCg==">AMUW2mWJcrKwVKaY6hP6GSX8UJxIC5+36aH2dew4pq1+UW15M3JdkcclsvTinQaotBFPM6/0UC9sUxrANJJn/oIN6XH5DEObq5fwrStWBzqiNxc5INRWx2I=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