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 Constitution of India, Professional Ethics &amp; Human Rights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Constitution of India (IAST: Bhāratīya Saṃvidhāna) is the supreme law of India. The document lays down the framework that demarcates fundamental political code, structure, procedures, powers, and duties of government institutions and sets out fundamental rights, directive principles, and the duties of citizens.</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 constitution is important because it ensures that those who make decisions on behalf of the public fairly represent public opinion. It also sets out the ways in which those who exercise power may be held accountable to the people they serve.</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It is needed for following reasons: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(1)basic rules- its has the basic rule on which the democracy functions. it guides in funtioning of a democracy. (2)rights- it defines the right of a citizen over state and other persons. ... (5)citizenship- it determines the various provisions for gaining and losing citizenship of the country.</w:t>
            </w:r>
          </w:p>
        </w:tc>
        <w:tc>
          <w:tcPr>
            <w:vMerge w:val="restart"/>
          </w:tcPr>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1C">
            <w:pPr>
              <w:keepNext w:val="1"/>
              <w:rPr/>
            </w:pPr>
            <w:r w:rsidDel="00000000" w:rsidR="00000000" w:rsidRPr="00000000">
              <w:rPr>
                <w:rtl w:val="0"/>
              </w:rPr>
              <w:t xml:space="preserve"> PO12:</w:t>
              <w:tab/>
              <w:t xml:space="preserve">Life-long</w:t>
            </w:r>
          </w:p>
          <w:p w:rsidR="00000000" w:rsidDel="00000000" w:rsidP="00000000" w:rsidRDefault="00000000" w:rsidRPr="00000000" w14:paraId="0000001D">
            <w:pPr>
              <w:keepNext w:val="1"/>
              <w:ind w:left="107" w:firstLine="0"/>
              <w:rPr/>
            </w:pPr>
            <w:r w:rsidDel="00000000" w:rsidR="00000000" w:rsidRPr="00000000">
              <w:rPr>
                <w:rtl w:val="0"/>
              </w:rPr>
              <w:t xml:space="preserve">Learning.</w:t>
            </w:r>
          </w:p>
          <w:p w:rsidR="00000000" w:rsidDel="00000000" w:rsidP="00000000" w:rsidRDefault="00000000" w:rsidRPr="00000000" w14:paraId="0000001E">
            <w:pPr>
              <w:keepNext w:val="1"/>
              <w:ind w:left="107" w:firstLine="0"/>
              <w:rPr/>
            </w:pPr>
            <w:r w:rsidDel="00000000" w:rsidR="00000000" w:rsidRPr="00000000">
              <w:rPr>
                <w:rtl w:val="0"/>
              </w:rPr>
            </w:r>
          </w:p>
          <w:p w:rsidR="00000000" w:rsidDel="00000000" w:rsidP="00000000" w:rsidRDefault="00000000" w:rsidRPr="00000000" w14:paraId="0000001F">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1380"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A">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B">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9E">
            <w:pPr>
              <w:widowControl w:val="1"/>
              <w:spacing w:before="240" w:lineRule="auto"/>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24"/>
                <w:szCs w:val="24"/>
                <w:rtl w:val="0"/>
              </w:rPr>
              <w:t xml:space="preserve">CO1: </w:t>
            </w:r>
            <w:r w:rsidDel="00000000" w:rsidR="00000000" w:rsidRPr="00000000">
              <w:rPr>
                <w:rFonts w:ascii="Bookman Old Style" w:cs="Bookman Old Style" w:eastAsia="Bookman Old Style" w:hAnsi="Bookman Old Style"/>
                <w:sz w:val="24"/>
                <w:szCs w:val="24"/>
                <w:rtl w:val="0"/>
              </w:rPr>
              <w:t xml:space="preserve">Demonstrate general knowledge and legal literacy and thereby to take up competitive examinations.</w:t>
            </w:r>
            <w:r w:rsidDel="00000000" w:rsidR="00000000" w:rsidRPr="00000000">
              <w:rPr>
                <w:rtl w:val="0"/>
              </w:rPr>
            </w:r>
          </w:p>
          <w:p w:rsidR="00000000" w:rsidDel="00000000" w:rsidP="00000000" w:rsidRDefault="00000000" w:rsidRPr="00000000" w14:paraId="0000009F">
            <w:pPr>
              <w:widowControl w:val="1"/>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24"/>
                <w:szCs w:val="24"/>
                <w:rtl w:val="0"/>
              </w:rPr>
              <w:t xml:space="preserve">CO2:Explain state and central policies, fundamental duties</w:t>
            </w:r>
            <w:r w:rsidDel="00000000" w:rsidR="00000000" w:rsidRPr="00000000">
              <w:rPr>
                <w:rtl w:val="0"/>
              </w:rPr>
            </w:r>
          </w:p>
          <w:p w:rsidR="00000000" w:rsidDel="00000000" w:rsidP="00000000" w:rsidRDefault="00000000" w:rsidRPr="00000000" w14:paraId="000000A0">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 Explain electoral process, special provisions</w:t>
            </w:r>
          </w:p>
          <w:p w:rsidR="00000000" w:rsidDel="00000000" w:rsidP="00000000" w:rsidRDefault="00000000" w:rsidRPr="00000000" w14:paraId="000000A1">
            <w:pPr>
              <w:widowControl w:val="1"/>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24"/>
                <w:szCs w:val="24"/>
                <w:rtl w:val="0"/>
              </w:rPr>
              <w:t xml:space="preserve">CO4:Explain powers and function of Municipalities, Panchayats and Co-operative Societies</w:t>
            </w:r>
            <w:r w:rsidDel="00000000" w:rsidR="00000000" w:rsidRPr="00000000">
              <w:rPr>
                <w:rtl w:val="0"/>
              </w:rPr>
            </w:r>
          </w:p>
          <w:p w:rsidR="00000000" w:rsidDel="00000000" w:rsidP="00000000" w:rsidRDefault="00000000" w:rsidRPr="00000000" w14:paraId="000000A2">
            <w:pPr>
              <w:widowControl w:val="1"/>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24"/>
                <w:szCs w:val="24"/>
                <w:rtl w:val="0"/>
              </w:rPr>
              <w:t xml:space="preserve">CO5:Explain Engineering ethics and responsibilities of Engineers</w:t>
            </w:r>
            <w:r w:rsidDel="00000000" w:rsidR="00000000" w:rsidRPr="00000000">
              <w:rPr>
                <w:rtl w:val="0"/>
              </w:rPr>
            </w:r>
          </w:p>
          <w:p w:rsidR="00000000" w:rsidDel="00000000" w:rsidP="00000000" w:rsidRDefault="00000000" w:rsidRPr="00000000" w14:paraId="000000A3">
            <w:pPr>
              <w:widowControl w:val="1"/>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24"/>
                <w:szCs w:val="24"/>
                <w:rtl w:val="0"/>
              </w:rPr>
              <w:t xml:space="preserve">CO6:Demonstrate awareness about basic human rights in India.</w:t>
            </w: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A">
            <w:pPr>
              <w:widowControl w:val="1"/>
              <w:spacing w:after="0" w:before="0" w:line="240" w:lineRule="auto"/>
              <w:ind w:left="0" w:firstLine="0"/>
              <w:rPr>
                <w:rFonts w:ascii="Bookman Old Style" w:cs="Bookman Old Style" w:eastAsia="Bookman Old Style" w:hAnsi="Bookman Old Style"/>
                <w:sz w:val="18"/>
                <w:szCs w:val="18"/>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1">
            <w:pPr>
              <w:widowControl w:val="1"/>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8">
            <w:pPr>
              <w:widowControl w:val="1"/>
              <w:spacing w:after="0" w:before="0" w:line="240" w:lineRule="auto"/>
              <w:ind w:left="0" w:firstLine="0"/>
              <w:rPr>
                <w:rFonts w:ascii="Bookman Old Style" w:cs="Bookman Old Style" w:eastAsia="Bookman Old Style" w:hAnsi="Bookman Old Style"/>
                <w:sz w:val="18"/>
                <w:szCs w:val="18"/>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F">
            <w:pPr>
              <w:widowControl w:val="1"/>
              <w:spacing w:after="0" w:before="0" w:line="240" w:lineRule="auto"/>
              <w:ind w:left="0" w:firstLine="0"/>
              <w:rPr>
                <w:rFonts w:ascii="Bookman Old Style" w:cs="Bookman Old Style" w:eastAsia="Bookman Old Style" w:hAnsi="Bookman Old Style"/>
                <w:sz w:val="18"/>
                <w:szCs w:val="18"/>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6">
            <w:pPr>
              <w:widowControl w:val="1"/>
              <w:spacing w:after="0" w:before="0" w:line="240" w:lineRule="auto"/>
              <w:ind w:left="0" w:firstLine="0"/>
              <w:rPr>
                <w:rFonts w:ascii="Bookman Old Style" w:cs="Bookman Old Style" w:eastAsia="Bookman Old Style" w:hAnsi="Bookman Old Style"/>
                <w:sz w:val="18"/>
                <w:szCs w:val="18"/>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5269236</wp:posOffset>
                </wp:positionH>
                <wp:positionV relativeFrom="page">
                  <wp:posOffset>1449076</wp:posOffset>
                </wp:positionV>
                <wp:extent cx="224154" cy="241935"/>
                <wp:effectExtent b="0" l="0" r="0" t="0"/>
                <wp:wrapNone/>
                <wp:docPr id="12"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5269236</wp:posOffset>
                </wp:positionH>
                <wp:positionV relativeFrom="page">
                  <wp:posOffset>1449076</wp:posOffset>
                </wp:positionV>
                <wp:extent cx="224154" cy="241935"/>
                <wp:effectExtent b="0" l="0" r="0" t="0"/>
                <wp:wrapNone/>
                <wp:docPr id="1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4154" cy="2419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3">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fgYTYNW8T0i3SZSXM7Ut8Llzw==">AMUW2mWqkSfKSIUcjBuPYVR071OZ0yzqPfceQNyOiKJwwtciSS3IlFjgMcX1zjQJrFXCvRfpUnl8c23By7xgvElZdjWroC29Df841Uo8YgZSsDxsXpFT1Qc=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