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967.6850992838541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Modelling and Simulation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Models help the analyst to understand the functionality of the system; they are used to communicate with customers. Models can explain the system from different perspectives:   A structural perspective, where you model the organization of a system or the structure of the data that is processed by the system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Systems modeling or system modeling is the interdisciplinary study of the use of models to conceptualize and construct systems in business and IT development. A common type of systems modeling is function modeling, with specific techniques such as the Functional Flow Block Diagram and IDEF0.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In business and IT development the term "systems modeling" has multiple meanings. It can relate to: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use of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model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to conceptualize and construct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interdisciplinary study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of the use of these models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systems modeling,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analysis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, and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design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efforts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systems modeling and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simulation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, such as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system dynamics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20" w:before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any specific systems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modeling language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the system concept and apply functional modeling method to model the activities of a static 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CO2:Explain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the behavior of a dynamic system and create an analogous model for a dynamic system;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CO3:Experiment with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the operation of a dynamic system and make improvement according to the simulation results.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5212092</wp:posOffset>
                </wp:positionH>
                <wp:positionV relativeFrom="page">
                  <wp:posOffset>1391932</wp:posOffset>
                </wp:positionV>
                <wp:extent cx="338454" cy="35623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5212092</wp:posOffset>
                </wp:positionH>
                <wp:positionV relativeFrom="page">
                  <wp:posOffset>1391932</wp:posOffset>
                </wp:positionV>
                <wp:extent cx="338454" cy="356235"/>
                <wp:effectExtent b="0" l="0" r="0" t="0"/>
                <wp:wrapNone/>
                <wp:docPr id="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4" cy="356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n.wikipedia.org/wiki/Simulation" TargetMode="External"/><Relationship Id="rId10" Type="http://schemas.openxmlformats.org/officeDocument/2006/relationships/hyperlink" Target="https://en.wikipedia.org/wiki/Systems_design" TargetMode="External"/><Relationship Id="rId13" Type="http://schemas.openxmlformats.org/officeDocument/2006/relationships/hyperlink" Target="https://en.wikipedia.org/wiki/Modeling_language" TargetMode="External"/><Relationship Id="rId12" Type="http://schemas.openxmlformats.org/officeDocument/2006/relationships/hyperlink" Target="https://en.wikipedia.org/wiki/System_dynamic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Systems_analysis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wikipedia.org/wiki/Scientific_modeling" TargetMode="External"/><Relationship Id="rId8" Type="http://schemas.openxmlformats.org/officeDocument/2006/relationships/hyperlink" Target="https://en.wikipedia.org/wiki/Interdisciplina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mOQOsMo8hmiM5p3ZAadIpEQ1gw==">AMUW2mXopI42a61BrzQeWjEd+oLFxSY5ZphktTX6r8qrU1T6THzbCDXbad7wh5OrzvV6IlpQp8bm8ObZS6rmxPiQqBG62enRyc3C80K7PgZwo79I/lKY+9g=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