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19.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980"/>
        <w:tblGridChange w:id="0">
          <w:tblGrid>
            <w:gridCol w:w="540"/>
            <w:gridCol w:w="2159"/>
            <w:gridCol w:w="2431"/>
            <w:gridCol w:w="2160"/>
            <w:gridCol w:w="1800"/>
            <w:gridCol w:w="2249"/>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 MICROPROCESSOR</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it has very wide applications in the field of instrumentation in systems like in the control panel of press printing machines, digital kiosks, credit card processing, security systems etc. It is also used in medical instruments like ECG (electronic cardiogram) etc making the device smart.</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Students will learn that microcontrollers are light sensing &amp; controlling devices. Temperature sensing and controlling devices. Fire detection &amp; safety devices. Industrial instrumentation devices. Process control devices.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 microprocessor has a limitation on the size of data. Most microprocessors do not support floating point operations. The main disadvantage is it's overheating physically. It should not contact with the other external devices</w:t>
            </w:r>
          </w:p>
        </w:tc>
        <w:tc>
          <w:tcPr>
            <w:vMerge w:val="restart"/>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9">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C">
            <w:pPr>
              <w:keepNext w:val="1"/>
              <w:ind w:left="107" w:firstLine="0"/>
              <w:jc w:val="both"/>
              <w:rPr/>
            </w:pPr>
            <w:r w:rsidDel="00000000" w:rsidR="00000000" w:rsidRPr="00000000">
              <w:rPr>
                <w:rtl w:val="0"/>
              </w:rPr>
            </w:r>
          </w:p>
          <w:p w:rsidR="00000000" w:rsidDel="00000000" w:rsidP="00000000" w:rsidRDefault="00000000" w:rsidRPr="00000000" w14:paraId="0000001D">
            <w:pPr>
              <w:widowControl w:val="1"/>
              <w:jc w:val="both"/>
              <w:rPr>
                <w:rFonts w:ascii="Bookman Old Style" w:cs="Bookman Old Style" w:eastAsia="Bookman Old Style" w:hAnsi="Bookman Old Style"/>
              </w:rPr>
            </w:pPr>
            <w:r w:rsidDel="00000000" w:rsidR="00000000" w:rsidRPr="00000000">
              <w:rPr>
                <w:rtl w:val="0"/>
              </w:rPr>
            </w:r>
          </w:p>
        </w:tc>
        <w:tc>
          <w:tcPr>
            <w:vMerge w:val="restart"/>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widowControl w:val="1"/>
              <w:jc w:val="both"/>
              <w:rPr>
                <w:rFonts w:ascii="Bookman Old Style" w:cs="Bookman Old Style" w:eastAsia="Bookman Old Style" w:hAnsi="Bookman Old Style"/>
              </w:rPr>
            </w:pPr>
            <w:r w:rsidDel="00000000" w:rsidR="00000000" w:rsidRPr="00000000">
              <w:rPr>
                <w:rtl w:val="0"/>
              </w:rPr>
            </w:r>
          </w:p>
        </w:tc>
        <w:tc>
          <w:tcPr>
            <w:vMerge w:val="continue"/>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8">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9">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AA">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CO1:Explain computer architecture, memory organizations and working of I/O devices. </w:t>
            </w:r>
          </w:p>
          <w:p w:rsidR="00000000" w:rsidDel="00000000" w:rsidP="00000000" w:rsidRDefault="00000000" w:rsidRPr="00000000" w14:paraId="000000AB">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CO2:Evaluate assembly level instructions with respect to syntax and semantics. </w:t>
            </w:r>
          </w:p>
          <w:p w:rsidR="00000000" w:rsidDel="00000000" w:rsidP="00000000" w:rsidRDefault="00000000" w:rsidRPr="00000000" w14:paraId="000000AC">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CO3:Design and Iograms for a specified problem. </w:t>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BA">
            <w:pPr>
              <w:widowControl w:val="1"/>
              <w:spacing w:after="0" w:before="0" w:line="240" w:lineRule="auto"/>
              <w:ind w:left="0" w:firstLine="0"/>
              <w:rPr>
                <w:rFonts w:ascii="Bookman Old Style" w:cs="Bookman Old Style" w:eastAsia="Bookman Old Style" w:hAnsi="Bookman Old Style"/>
                <w:sz w:val="23"/>
                <w:szCs w:val="23"/>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widowControl w:val="1"/>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3"/>
                <w:szCs w:val="23"/>
                <w:rtl w:val="0"/>
              </w:rPr>
              <w:t xml:space="preserve">CO4:mplement assembly level prDesign and Implement I/O and memory devices interfacing for a specification </w:t>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871"/>
              </w:tabs>
              <w:spacing w:after="0" w:before="0" w:line="234"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4">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5278760</wp:posOffset>
                </wp:positionH>
                <wp:positionV relativeFrom="page">
                  <wp:posOffset>1458600</wp:posOffset>
                </wp:positionV>
                <wp:extent cx="205104" cy="222885"/>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5104" cy="2228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5"/>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CGO2uDWOICjCnZP3lp2U6Mx6Q==">AMUW2mWtB7IKxqBedBfg3L24kGhtBG+ofYrUqg4aMSQrPvubuH6F/ydFGNaZN93tc8/HN3AeU77rVxz6sQNmrZ+CYph5TYFDyj7nm4NH4i6dX8IR+n1bcdk=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