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A7" w:rsidRDefault="00DE6BA7"/>
    <w:p w:rsidR="00B97790" w:rsidRDefault="00325B33" w:rsidP="001C38CF">
      <w:pPr>
        <w:spacing w:line="276" w:lineRule="auto"/>
        <w:jc w:val="both"/>
        <w:rPr>
          <w:b/>
          <w:sz w:val="32"/>
          <w:szCs w:val="32"/>
        </w:rPr>
      </w:pPr>
      <w:proofErr w:type="gramStart"/>
      <w:r>
        <w:rPr>
          <w:b/>
          <w:sz w:val="32"/>
          <w:szCs w:val="32"/>
        </w:rPr>
        <w:t>2.6.</w:t>
      </w:r>
      <w:r w:rsidR="008C11B7">
        <w:rPr>
          <w:b/>
          <w:sz w:val="32"/>
          <w:szCs w:val="32"/>
        </w:rPr>
        <w:t>2</w:t>
      </w:r>
      <w:r>
        <w:rPr>
          <w:b/>
          <w:sz w:val="32"/>
          <w:szCs w:val="32"/>
        </w:rPr>
        <w:t xml:space="preserve">  </w:t>
      </w:r>
      <w:r w:rsidR="008C11B7">
        <w:rPr>
          <w:b/>
          <w:sz w:val="32"/>
          <w:szCs w:val="32"/>
        </w:rPr>
        <w:t>Attainment</w:t>
      </w:r>
      <w:proofErr w:type="gramEnd"/>
      <w:r w:rsidR="008C11B7">
        <w:rPr>
          <w:b/>
          <w:sz w:val="32"/>
          <w:szCs w:val="32"/>
        </w:rPr>
        <w:t xml:space="preserve"> of Programme Outcomes and Couse Outcomes are evaluated by the institution</w:t>
      </w:r>
    </w:p>
    <w:p w:rsidR="00325B33" w:rsidRDefault="00325B33" w:rsidP="001C38CF">
      <w:pPr>
        <w:spacing w:line="276" w:lineRule="auto"/>
        <w:jc w:val="both"/>
        <w:rPr>
          <w:sz w:val="28"/>
          <w:szCs w:val="28"/>
        </w:rPr>
      </w:pPr>
      <w:r w:rsidRPr="00325B33">
        <w:rPr>
          <w:sz w:val="28"/>
          <w:szCs w:val="28"/>
        </w:rPr>
        <w:t xml:space="preserve">Institute follows Outcomes Based Education (OBE) system as directed by affiliating University (VTU), </w:t>
      </w:r>
      <w:r w:rsidR="008C11B7">
        <w:rPr>
          <w:sz w:val="28"/>
          <w:szCs w:val="28"/>
        </w:rPr>
        <w:t>and AICTE</w:t>
      </w:r>
      <w:r w:rsidRPr="00325B33">
        <w:rPr>
          <w:sz w:val="28"/>
          <w:szCs w:val="28"/>
        </w:rPr>
        <w:t>.</w:t>
      </w:r>
    </w:p>
    <w:p w:rsidR="00512B7F" w:rsidRPr="008C11B7" w:rsidRDefault="008C11B7" w:rsidP="001C38CF">
      <w:pPr>
        <w:spacing w:line="276" w:lineRule="auto"/>
        <w:jc w:val="both"/>
        <w:rPr>
          <w:b/>
          <w:sz w:val="28"/>
          <w:szCs w:val="28"/>
        </w:rPr>
      </w:pPr>
      <w:r w:rsidRPr="008C11B7">
        <w:rPr>
          <w:b/>
          <w:sz w:val="28"/>
          <w:szCs w:val="28"/>
        </w:rPr>
        <w:t>Process involved in attainment calculation</w:t>
      </w:r>
    </w:p>
    <w:p w:rsidR="008C11B7" w:rsidRDefault="008C11B7" w:rsidP="001C38CF">
      <w:pPr>
        <w:pStyle w:val="ListParagraph"/>
        <w:numPr>
          <w:ilvl w:val="0"/>
          <w:numId w:val="4"/>
        </w:numPr>
        <w:spacing w:line="276" w:lineRule="auto"/>
        <w:jc w:val="both"/>
        <w:rPr>
          <w:sz w:val="28"/>
          <w:szCs w:val="28"/>
        </w:rPr>
      </w:pPr>
      <w:r w:rsidRPr="008C11B7">
        <w:rPr>
          <w:sz w:val="28"/>
          <w:szCs w:val="28"/>
        </w:rPr>
        <w:t>Initiate the process through department level Circular indicating defining /revising CO-PO / PSO mapping wi</w:t>
      </w:r>
      <w:r>
        <w:rPr>
          <w:sz w:val="28"/>
          <w:szCs w:val="28"/>
        </w:rPr>
        <w:t>th justifications.</w:t>
      </w:r>
    </w:p>
    <w:p w:rsidR="00512B7F" w:rsidRPr="008C11B7" w:rsidRDefault="008C11B7" w:rsidP="001C38CF">
      <w:pPr>
        <w:pStyle w:val="ListParagraph"/>
        <w:numPr>
          <w:ilvl w:val="0"/>
          <w:numId w:val="4"/>
        </w:numPr>
        <w:spacing w:line="276" w:lineRule="auto"/>
        <w:jc w:val="both"/>
        <w:rPr>
          <w:sz w:val="28"/>
          <w:szCs w:val="28"/>
        </w:rPr>
      </w:pPr>
      <w:r>
        <w:rPr>
          <w:sz w:val="28"/>
          <w:szCs w:val="28"/>
        </w:rPr>
        <w:t>Preparation of I.A Question Papers by adhering the policy of teaching learning.</w:t>
      </w:r>
    </w:p>
    <w:p w:rsidR="00512B7F" w:rsidRPr="001F4D24" w:rsidRDefault="008C11B7" w:rsidP="001C38CF">
      <w:pPr>
        <w:pStyle w:val="ListParagraph"/>
        <w:numPr>
          <w:ilvl w:val="0"/>
          <w:numId w:val="5"/>
        </w:numPr>
        <w:spacing w:line="276" w:lineRule="auto"/>
        <w:jc w:val="both"/>
        <w:rPr>
          <w:sz w:val="28"/>
          <w:szCs w:val="28"/>
        </w:rPr>
      </w:pPr>
      <w:r>
        <w:rPr>
          <w:sz w:val="28"/>
          <w:szCs w:val="28"/>
        </w:rPr>
        <w:t>The assessment of the COs involves formative assessment tools (Internal tests, Assignment, Quiz, Semester, etc.,) and summative assessment tool (Semester End Examination).</w:t>
      </w:r>
    </w:p>
    <w:p w:rsidR="008C11B7" w:rsidRDefault="008C11B7" w:rsidP="001C38CF">
      <w:pPr>
        <w:pStyle w:val="ListParagraph"/>
        <w:numPr>
          <w:ilvl w:val="0"/>
          <w:numId w:val="5"/>
        </w:numPr>
        <w:spacing w:line="276" w:lineRule="auto"/>
        <w:jc w:val="both"/>
        <w:rPr>
          <w:sz w:val="28"/>
          <w:szCs w:val="28"/>
        </w:rPr>
      </w:pPr>
      <w:r w:rsidRPr="008C11B7">
        <w:rPr>
          <w:sz w:val="28"/>
          <w:szCs w:val="28"/>
        </w:rPr>
        <w:t>Direct CO-PO/PSO attainment is calculated by allotting a weightage of 50% each to attainment through Formative ass</w:t>
      </w:r>
      <w:r>
        <w:rPr>
          <w:sz w:val="28"/>
          <w:szCs w:val="28"/>
        </w:rPr>
        <w:t>essment and Summative assessment.</w:t>
      </w:r>
    </w:p>
    <w:p w:rsidR="00B97790" w:rsidRPr="008C11B7" w:rsidRDefault="008C11B7" w:rsidP="001C38CF">
      <w:pPr>
        <w:pStyle w:val="ListParagraph"/>
        <w:numPr>
          <w:ilvl w:val="0"/>
          <w:numId w:val="5"/>
        </w:numPr>
        <w:spacing w:line="276" w:lineRule="auto"/>
        <w:jc w:val="both"/>
        <w:rPr>
          <w:b/>
          <w:sz w:val="28"/>
        </w:rPr>
      </w:pPr>
      <w:r>
        <w:rPr>
          <w:sz w:val="28"/>
          <w:szCs w:val="28"/>
        </w:rPr>
        <w:t>Further, Course end surveys are conducted (Except First year courses) to obtain voice of students on attainment of Cos and POs at the end of each semester for Indirect assessment. The CO-PO/PSO attainment calculated based on course end survey is termed as indirect attainment.</w:t>
      </w:r>
    </w:p>
    <w:p w:rsidR="008C11B7" w:rsidRDefault="008C11B7" w:rsidP="001C38CF">
      <w:pPr>
        <w:pStyle w:val="ListParagraph"/>
        <w:numPr>
          <w:ilvl w:val="0"/>
          <w:numId w:val="5"/>
        </w:numPr>
        <w:spacing w:line="276" w:lineRule="auto"/>
        <w:jc w:val="both"/>
        <w:rPr>
          <w:b/>
          <w:sz w:val="28"/>
        </w:rPr>
      </w:pPr>
      <w:r>
        <w:rPr>
          <w:sz w:val="28"/>
          <w:szCs w:val="28"/>
        </w:rPr>
        <w:t>Final attainment of each of the POs / PSOs are calcul</w:t>
      </w:r>
      <w:r w:rsidR="001C38CF">
        <w:rPr>
          <w:sz w:val="28"/>
          <w:szCs w:val="28"/>
        </w:rPr>
        <w:t>ated by allotting a weightage of 90% to direct attainment and weightage of 10% of indirect attainment.</w:t>
      </w:r>
    </w:p>
    <w:p w:rsidR="00B97790" w:rsidRDefault="00B97790" w:rsidP="00B97790">
      <w:pPr>
        <w:ind w:left="142"/>
        <w:jc w:val="right"/>
        <w:rPr>
          <w:b/>
          <w:sz w:val="28"/>
        </w:rPr>
      </w:pPr>
      <w:bookmarkStart w:id="0" w:name="_GoBack"/>
      <w:bookmarkEnd w:id="0"/>
    </w:p>
    <w:p w:rsidR="001C38CF" w:rsidRDefault="001C38CF" w:rsidP="00B97790">
      <w:pPr>
        <w:ind w:left="142"/>
        <w:jc w:val="right"/>
        <w:rPr>
          <w:b/>
          <w:sz w:val="28"/>
        </w:rPr>
      </w:pPr>
    </w:p>
    <w:p w:rsidR="00B97790" w:rsidRPr="00B97790" w:rsidRDefault="001F4D24" w:rsidP="001F4D24">
      <w:pPr>
        <w:rPr>
          <w:b/>
          <w:sz w:val="28"/>
        </w:rPr>
      </w:pPr>
      <w:r>
        <w:rPr>
          <w:b/>
          <w:sz w:val="28"/>
        </w:rPr>
        <w:t xml:space="preserve">                                                                                                           </w:t>
      </w:r>
      <w:r w:rsidR="00B97790" w:rsidRPr="00B97790">
        <w:rPr>
          <w:b/>
          <w:sz w:val="28"/>
        </w:rPr>
        <w:t>PRINCIPAL</w:t>
      </w:r>
    </w:p>
    <w:sectPr w:rsidR="00B97790" w:rsidRPr="00B97790" w:rsidSect="00AF0DA1">
      <w:headerReference w:type="default" r:id="rId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6B" w:rsidRDefault="00CE436B" w:rsidP="00B97790">
      <w:pPr>
        <w:spacing w:after="0" w:line="240" w:lineRule="auto"/>
      </w:pPr>
      <w:r>
        <w:separator/>
      </w:r>
    </w:p>
  </w:endnote>
  <w:endnote w:type="continuationSeparator" w:id="0">
    <w:p w:rsidR="00CE436B" w:rsidRDefault="00CE436B" w:rsidP="00B9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6B" w:rsidRDefault="00CE436B" w:rsidP="00B97790">
      <w:pPr>
        <w:spacing w:after="0" w:line="240" w:lineRule="auto"/>
      </w:pPr>
      <w:r>
        <w:separator/>
      </w:r>
    </w:p>
  </w:footnote>
  <w:footnote w:type="continuationSeparator" w:id="0">
    <w:p w:rsidR="00CE436B" w:rsidRDefault="00CE436B" w:rsidP="00B97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90" w:rsidRDefault="00B97790" w:rsidP="00B97790">
    <w:pPr>
      <w:spacing w:after="0" w:line="240" w:lineRule="auto"/>
      <w:jc w:val="center"/>
      <w:rPr>
        <w:rFonts w:ascii="Times New Roman" w:hAnsi="Times New Roman"/>
        <w:b/>
        <w:bCs/>
        <w:sz w:val="28"/>
        <w:szCs w:val="28"/>
      </w:rPr>
    </w:pPr>
    <w:r>
      <w:rPr>
        <w:noProof/>
        <w:lang w:eastAsia="en-IN"/>
      </w:rPr>
      <w:drawing>
        <wp:anchor distT="0" distB="0" distL="114300" distR="114300" simplePos="0" relativeHeight="251658240" behindDoc="0" locked="0" layoutInCell="1" allowOverlap="1" wp14:anchorId="4BDF05E1" wp14:editId="45F1559D">
          <wp:simplePos x="0" y="0"/>
          <wp:positionH relativeFrom="column">
            <wp:posOffset>-713105</wp:posOffset>
          </wp:positionH>
          <wp:positionV relativeFrom="paragraph">
            <wp:posOffset>12065</wp:posOffset>
          </wp:positionV>
          <wp:extent cx="1104900" cy="914400"/>
          <wp:effectExtent l="0" t="0" r="0" b="0"/>
          <wp:wrapSquare wrapText="bothSides"/>
          <wp:docPr id="17" name="Picture 17"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8D2">
      <w:rPr>
        <w:rFonts w:ascii="Times New Roman" w:hAnsi="Times New Roman"/>
        <w:b/>
        <w:bCs/>
        <w:sz w:val="28"/>
        <w:szCs w:val="28"/>
      </w:rPr>
      <w:t>ALVA’S INSTITUTE OF ENGINEERING &amp; TECHNOLOGY</w:t>
    </w:r>
  </w:p>
  <w:p w:rsidR="00B97790" w:rsidRPr="00B97790" w:rsidRDefault="00B97790" w:rsidP="00B97790">
    <w:pPr>
      <w:spacing w:after="0" w:line="240" w:lineRule="auto"/>
      <w:jc w:val="center"/>
      <w:rPr>
        <w:rFonts w:ascii="Bookman Old Style" w:hAnsi="Bookman Old Style"/>
        <w:sz w:val="20"/>
        <w:szCs w:val="20"/>
      </w:rPr>
    </w:pPr>
    <w:r w:rsidRPr="00B97790">
      <w:rPr>
        <w:rFonts w:ascii="Bookman Old Style" w:hAnsi="Bookman Old Style"/>
        <w:sz w:val="20"/>
        <w:szCs w:val="20"/>
      </w:rPr>
      <w:t xml:space="preserve">Affiliated to </w:t>
    </w:r>
    <w:proofErr w:type="spellStart"/>
    <w:r w:rsidRPr="00B97790">
      <w:rPr>
        <w:rFonts w:ascii="Bookman Old Style" w:hAnsi="Bookman Old Style"/>
        <w:sz w:val="20"/>
        <w:szCs w:val="20"/>
      </w:rPr>
      <w:t>Visvesvaraya</w:t>
    </w:r>
    <w:proofErr w:type="spellEnd"/>
    <w:r w:rsidRPr="00B97790">
      <w:rPr>
        <w:rFonts w:ascii="Bookman Old Style" w:hAnsi="Bookman Old Style"/>
        <w:sz w:val="20"/>
        <w:szCs w:val="20"/>
      </w:rPr>
      <w:t xml:space="preserve"> Technological University, </w:t>
    </w:r>
    <w:proofErr w:type="spellStart"/>
    <w:r w:rsidRPr="00B97790">
      <w:rPr>
        <w:rFonts w:ascii="Bookman Old Style" w:hAnsi="Bookman Old Style"/>
        <w:sz w:val="20"/>
        <w:szCs w:val="20"/>
      </w:rPr>
      <w:t>Belagavi</w:t>
    </w:r>
    <w:proofErr w:type="spellEnd"/>
  </w:p>
  <w:p w:rsidR="00B97790" w:rsidRPr="00B97790" w:rsidRDefault="00B97790" w:rsidP="00B97790">
    <w:pPr>
      <w:spacing w:after="0" w:line="240" w:lineRule="auto"/>
      <w:jc w:val="center"/>
      <w:rPr>
        <w:rFonts w:ascii="Bookman Old Style" w:hAnsi="Bookman Old Style"/>
        <w:b/>
        <w:bCs/>
        <w:sz w:val="20"/>
        <w:szCs w:val="20"/>
      </w:rPr>
    </w:pPr>
    <w:r w:rsidRPr="00B97790">
      <w:rPr>
        <w:rFonts w:ascii="Bookman Old Style" w:hAnsi="Bookman Old Style"/>
        <w:sz w:val="20"/>
        <w:szCs w:val="20"/>
      </w:rPr>
      <w:t>&amp; Approved by AICTE, New Delhi. Recognized by Government of Karnataka.</w:t>
    </w:r>
  </w:p>
  <w:p w:rsidR="00B97790" w:rsidRPr="00B97790" w:rsidRDefault="00B97790" w:rsidP="00B97790">
    <w:pPr>
      <w:spacing w:after="0" w:line="240" w:lineRule="auto"/>
      <w:jc w:val="center"/>
      <w:rPr>
        <w:rFonts w:ascii="Bookman Old Style" w:hAnsi="Bookman Old Style"/>
        <w:b/>
        <w:bCs/>
        <w:sz w:val="20"/>
        <w:szCs w:val="20"/>
      </w:rPr>
    </w:pPr>
    <w:r w:rsidRPr="00B97790">
      <w:rPr>
        <w:rFonts w:ascii="Bookman Old Style" w:hAnsi="Bookman Old Style"/>
        <w:sz w:val="20"/>
        <w:szCs w:val="20"/>
      </w:rPr>
      <w:t xml:space="preserve"> </w:t>
    </w:r>
    <w:r w:rsidRPr="00B97790">
      <w:rPr>
        <w:rFonts w:ascii="Bookman Old Style" w:hAnsi="Bookman Old Style"/>
        <w:b/>
        <w:bCs/>
        <w:sz w:val="20"/>
        <w:szCs w:val="20"/>
      </w:rPr>
      <w:t>A+, Accredited by NAAC &amp; NBA (ECE &amp; CSE)</w:t>
    </w:r>
  </w:p>
  <w:p w:rsidR="00B97790" w:rsidRPr="00B97790" w:rsidRDefault="00B97790" w:rsidP="00B97790">
    <w:pPr>
      <w:spacing w:after="0" w:line="240" w:lineRule="auto"/>
      <w:jc w:val="center"/>
      <w:rPr>
        <w:rFonts w:ascii="Bookman Old Style" w:hAnsi="Bookman Old Style"/>
        <w:b/>
        <w:bCs/>
        <w:sz w:val="20"/>
        <w:szCs w:val="20"/>
      </w:rPr>
    </w:pPr>
    <w:proofErr w:type="spellStart"/>
    <w:r w:rsidRPr="00B97790">
      <w:rPr>
        <w:rFonts w:ascii="Bookman Old Style" w:hAnsi="Bookman Old Style"/>
        <w:sz w:val="20"/>
        <w:szCs w:val="20"/>
      </w:rPr>
      <w:t>Shobhavana</w:t>
    </w:r>
    <w:proofErr w:type="spellEnd"/>
    <w:r w:rsidRPr="00B97790">
      <w:rPr>
        <w:rFonts w:ascii="Bookman Old Style" w:hAnsi="Bookman Old Style"/>
        <w:sz w:val="20"/>
        <w:szCs w:val="20"/>
      </w:rPr>
      <w:t xml:space="preserve"> Campus, </w:t>
    </w:r>
    <w:r>
      <w:rPr>
        <w:rFonts w:ascii="Bookman Old Style" w:hAnsi="Bookman Old Style"/>
        <w:sz w:val="20"/>
        <w:szCs w:val="20"/>
      </w:rPr>
      <w:t>MIJAR</w:t>
    </w:r>
    <w:r w:rsidRPr="00B97790">
      <w:rPr>
        <w:rFonts w:ascii="Bookman Old Style" w:hAnsi="Bookman Old Style"/>
        <w:sz w:val="20"/>
        <w:szCs w:val="20"/>
      </w:rPr>
      <w:t xml:space="preserve"> – 574425, </w:t>
    </w:r>
    <w:proofErr w:type="spellStart"/>
    <w:r w:rsidRPr="00B97790">
      <w:rPr>
        <w:rFonts w:ascii="Bookman Old Style" w:hAnsi="Bookman Old Style"/>
        <w:sz w:val="20"/>
        <w:szCs w:val="20"/>
      </w:rPr>
      <w:t>Moodbidri</w:t>
    </w:r>
    <w:proofErr w:type="spellEnd"/>
    <w:r w:rsidRPr="00B97790">
      <w:rPr>
        <w:rFonts w:ascii="Bookman Old Style" w:hAnsi="Bookman Old Style"/>
        <w:sz w:val="20"/>
        <w:szCs w:val="20"/>
      </w:rPr>
      <w:t>, D.K, Karnataka</w:t>
    </w:r>
  </w:p>
  <w:p w:rsidR="00B97790" w:rsidRPr="00B97790" w:rsidRDefault="00B97790" w:rsidP="00B97790">
    <w:pPr>
      <w:spacing w:after="0" w:line="240" w:lineRule="auto"/>
      <w:jc w:val="center"/>
      <w:rPr>
        <w:rFonts w:ascii="Bookman Old Style" w:hAnsi="Bookman Old Style"/>
      </w:rPr>
    </w:pPr>
    <w:r w:rsidRPr="00B97790">
      <w:rPr>
        <w:rFonts w:ascii="Bookman Old Style" w:hAnsi="Bookman Old Style"/>
        <w:noProof/>
        <w:sz w:val="20"/>
        <w:szCs w:val="20"/>
        <w:lang w:eastAsia="en-IN"/>
      </w:rPr>
      <mc:AlternateContent>
        <mc:Choice Requires="wps">
          <w:drawing>
            <wp:anchor distT="0" distB="0" distL="114300" distR="114300" simplePos="0" relativeHeight="251659264" behindDoc="0" locked="0" layoutInCell="1" allowOverlap="1" wp14:anchorId="392B4E1D" wp14:editId="4D608AD9">
              <wp:simplePos x="0" y="0"/>
              <wp:positionH relativeFrom="column">
                <wp:posOffset>-895350</wp:posOffset>
              </wp:positionH>
              <wp:positionV relativeFrom="paragraph">
                <wp:posOffset>238125</wp:posOffset>
              </wp:positionV>
              <wp:extent cx="75247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75247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BDF8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18.75pt" to="5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KevwEAAMgDAAAOAAAAZHJzL2Uyb0RvYy54bWysU12P0zAQfEfiP1h+p0kjSk9R03voCV4Q&#10;VBz8AJ+zbiz8pbVp0n/P2mlzCBBCiBc3tmdmd8bb3f1kDTsDRu1dx9ermjNw0vfanTr+5fPbV3ec&#10;xSRcL4x30PELRH6/f/liN4YWGj940wMyEnGxHUPHh5RCW1VRDmBFXPkAji6VRysSbfFU9ShGUrem&#10;aur6TTV67AN6CTHS6cN8yfdFXymQ6aNSERIzHafeUlmxrE95rfY70Z5QhEHLaxviH7qwQjsqukg9&#10;iCTYN9S/SFkt0Uev0kp6W3mltITigdys65/cPA4iQPFC4cSwxBT/n6z8cD4i033HG86csPREjwmF&#10;Pg2JHbxzFKBH1uScxhBbgh/cEa+7GI6YTU8Kbf4lO2wq2V6WbGFKTNLhdtO83m7oCeTtrnomBozp&#10;HXjL8kfHjXbZtmjF+X1MVIygN0g+No6N1PDdZrvJjVW5s7mX8pUuBmbYJ1Dkjaqvi1yZKjgYZGdB&#10;89B/XRd6FiRkpihtzEKq/0y6YjMNyqT9LXFBl4repYVotfP4u6ppurWqZvzN9ew1237y/aW8TImD&#10;xqXEdh3tPI8/7gv9+Q+4/w4AAP//AwBQSwMEFAAGAAgAAAAhAAzfou3fAAAACwEAAA8AAABkcnMv&#10;ZG93bnJldi54bWxMj81OwzAQhO9IvIO1SFxQ64SEH4U4FULiAhKlpeK8jZ04wl5HttOGt8cVBzju&#10;7Gjmm3o1W8MOyofBkYB8mQFT1Do5UC9g9/G8uAcWIpJE40gJ+FYBVs35WY2VdEfaqMM29iyFUKhQ&#10;gI5xrDgPrVYWw9KNitKvc95iTKfvufR4TOHW8Ossu+UWB0oNGkf1pFX7tZ2sAD+tu1dTFC/tJ76j&#10;3uyuuvA2CXF5MT8+AItqjn9mOOEndGgS095NJAMzAhZ5macxUUBxdwPs5MjKMin7X4U3Nf+/ofkB&#10;AAD//wMAUEsBAi0AFAAGAAgAAAAhALaDOJL+AAAA4QEAABMAAAAAAAAAAAAAAAAAAAAAAFtDb250&#10;ZW50X1R5cGVzXS54bWxQSwECLQAUAAYACAAAACEAOP0h/9YAAACUAQAACwAAAAAAAAAAAAAAAAAv&#10;AQAAX3JlbHMvLnJlbHNQSwECLQAUAAYACAAAACEAL4yinr8BAADIAwAADgAAAAAAAAAAAAAAAAAu&#10;AgAAZHJzL2Uyb0RvYy54bWxQSwECLQAUAAYACAAAACEADN+i7d8AAAALAQAADwAAAAAAAAAAAAAA&#10;AAAZBAAAZHJzL2Rvd25yZXYueG1sUEsFBgAAAAAEAAQA8wAAACUFAAAAAA==&#10;" strokecolor="black [3200]" strokeweight="2.25pt">
              <v:stroke joinstyle="miter"/>
            </v:line>
          </w:pict>
        </mc:Fallback>
      </mc:AlternateContent>
    </w:r>
    <w:proofErr w:type="spellStart"/>
    <w:r w:rsidRPr="00B97790">
      <w:rPr>
        <w:rFonts w:ascii="Bookman Old Style" w:hAnsi="Bookman Old Style"/>
        <w:sz w:val="20"/>
        <w:szCs w:val="20"/>
      </w:rPr>
      <w:t>Ph</w:t>
    </w:r>
    <w:proofErr w:type="spellEnd"/>
    <w:r w:rsidRPr="00B97790">
      <w:rPr>
        <w:rFonts w:ascii="Bookman Old Style" w:hAnsi="Bookman Old Style"/>
        <w:sz w:val="20"/>
        <w:szCs w:val="20"/>
      </w:rPr>
      <w:t>: 08258-262725; Mob</w:t>
    </w:r>
    <w:proofErr w:type="gramStart"/>
    <w:r w:rsidRPr="00B97790">
      <w:rPr>
        <w:rFonts w:ascii="Bookman Old Style" w:hAnsi="Bookman Old Style"/>
        <w:sz w:val="20"/>
        <w:szCs w:val="20"/>
      </w:rPr>
      <w:t>:7026262725</w:t>
    </w:r>
    <w:proofErr w:type="gramEnd"/>
    <w:r w:rsidRPr="00B97790">
      <w:rPr>
        <w:rFonts w:ascii="Bookman Old Style" w:hAnsi="Bookman Old Style"/>
        <w:sz w:val="20"/>
        <w:szCs w:val="20"/>
      </w:rPr>
      <w:t>, mail:principalaiet08@gmail.com</w:t>
    </w:r>
  </w:p>
  <w:p w:rsidR="00B97790" w:rsidRPr="00B97790" w:rsidRDefault="00B97790" w:rsidP="00B97790">
    <w:pPr>
      <w:spacing w:after="0" w:line="240" w:lineRule="aut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20F1D"/>
    <w:multiLevelType w:val="hybridMultilevel"/>
    <w:tmpl w:val="164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ED3595B"/>
    <w:multiLevelType w:val="hybridMultilevel"/>
    <w:tmpl w:val="8B9C5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1AE6A4D"/>
    <w:multiLevelType w:val="hybridMultilevel"/>
    <w:tmpl w:val="D2907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18F7429"/>
    <w:multiLevelType w:val="hybridMultilevel"/>
    <w:tmpl w:val="4DE0D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E4A5D02"/>
    <w:multiLevelType w:val="hybridMultilevel"/>
    <w:tmpl w:val="B8729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0"/>
    <w:rsid w:val="00084FAB"/>
    <w:rsid w:val="001C38CF"/>
    <w:rsid w:val="001E41DD"/>
    <w:rsid w:val="001F4D24"/>
    <w:rsid w:val="00325B33"/>
    <w:rsid w:val="00400AB1"/>
    <w:rsid w:val="00512B7F"/>
    <w:rsid w:val="006736E1"/>
    <w:rsid w:val="00711237"/>
    <w:rsid w:val="008C11B7"/>
    <w:rsid w:val="00AF0DA1"/>
    <w:rsid w:val="00B97790"/>
    <w:rsid w:val="00CE436B"/>
    <w:rsid w:val="00DE6B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5512FC-533A-481A-9290-E4B6EB5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90"/>
  </w:style>
  <w:style w:type="paragraph" w:styleId="Footer">
    <w:name w:val="footer"/>
    <w:basedOn w:val="Normal"/>
    <w:link w:val="FooterChar"/>
    <w:uiPriority w:val="99"/>
    <w:unhideWhenUsed/>
    <w:rsid w:val="00B9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90"/>
  </w:style>
  <w:style w:type="character" w:styleId="Hyperlink">
    <w:name w:val="Hyperlink"/>
    <w:basedOn w:val="DefaultParagraphFont"/>
    <w:uiPriority w:val="99"/>
    <w:unhideWhenUsed/>
    <w:rsid w:val="00325B33"/>
    <w:rPr>
      <w:color w:val="0563C1" w:themeColor="hyperlink"/>
      <w:u w:val="single"/>
    </w:rPr>
  </w:style>
  <w:style w:type="paragraph" w:styleId="ListParagraph">
    <w:name w:val="List Paragraph"/>
    <w:basedOn w:val="Normal"/>
    <w:uiPriority w:val="34"/>
    <w:qFormat/>
    <w:rsid w:val="00711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2024-12-07T03:48:00Z</dcterms:created>
  <dcterms:modified xsi:type="dcterms:W3CDTF">2024-12-07T05:17:00Z</dcterms:modified>
</cp:coreProperties>
</file>