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6230" w14:textId="77777777" w:rsidR="00692D4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2.3.3 Ratio of Mentor to Students for Academic and Other Related Issues</w:t>
      </w:r>
    </w:p>
    <w:p w14:paraId="179B8EBA" w14:textId="77777777" w:rsidR="00692D41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(Data for the Latest Completed Academic Year 2023-24) </w:t>
      </w:r>
    </w:p>
    <w:p w14:paraId="45BF2D64" w14:textId="77777777" w:rsidR="00692D41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Circular Pertaining to assigning mentors to mentees</w:t>
      </w:r>
    </w:p>
    <w:p w14:paraId="523D3B88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221A0F5" w14:textId="77777777" w:rsidR="00692D41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The Heads of respective departments assigns mentors to each student and prepares a list for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circulation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to intimate students and their respective mentors.</w:t>
      </w:r>
    </w:p>
    <w:p w14:paraId="2F289499" w14:textId="77777777" w:rsidR="00692D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Mentors shall, </w:t>
      </w:r>
    </w:p>
    <w:p w14:paraId="42D970E6" w14:textId="77777777" w:rsidR="00692D41" w:rsidRDefault="00000000">
      <w:pPr>
        <w:numPr>
          <w:ilvl w:val="1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Continuously monitor, counsel, guide, and motivate the students in all academic matters.</w:t>
      </w:r>
    </w:p>
    <w:p w14:paraId="2ACCEDB0" w14:textId="77777777" w:rsidR="00692D41" w:rsidRDefault="00000000">
      <w:pPr>
        <w:numPr>
          <w:ilvl w:val="1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Advise students regarding choice of electives, projects, internships, etc.</w:t>
      </w:r>
    </w:p>
    <w:p w14:paraId="12C75361" w14:textId="77777777" w:rsidR="00692D41" w:rsidRDefault="00000000">
      <w:pPr>
        <w:numPr>
          <w:ilvl w:val="1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Contact parents/guardians if the situation demands e.g. academic irregularities, negative behavioral changes, and interpersonal relations, detrimental activities, etc.</w:t>
      </w:r>
    </w:p>
    <w:p w14:paraId="03D66CEF" w14:textId="77777777" w:rsidR="00692D41" w:rsidRDefault="00000000">
      <w:pPr>
        <w:numPr>
          <w:ilvl w:val="1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Advise students in their career development/professional guidance.</w:t>
      </w:r>
    </w:p>
    <w:p w14:paraId="541DC53F" w14:textId="77777777" w:rsidR="00692D41" w:rsidRDefault="00000000">
      <w:pPr>
        <w:numPr>
          <w:ilvl w:val="1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Maintain a detailed progressive record of the student.</w:t>
      </w:r>
    </w:p>
    <w:p w14:paraId="1524D31D" w14:textId="77777777" w:rsidR="00692D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Exclusion: </w:t>
      </w:r>
    </w:p>
    <w:p w14:paraId="40C3AF1D" w14:textId="77777777" w:rsidR="00692D4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Principal/Deans are relaxed from mentoring, however they may be allotted with a few mentees, if required.</w:t>
      </w:r>
    </w:p>
    <w:p w14:paraId="2E21D27D" w14:textId="77777777" w:rsidR="00692D41" w:rsidRDefault="00692D41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294CEEA" w14:textId="77777777" w:rsidR="00692D41" w:rsidRDefault="00692D41">
      <w:pPr>
        <w:spacing w:after="0" w:line="360" w:lineRule="auto"/>
        <w:ind w:left="648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1D2C81E" w14:textId="77777777" w:rsidR="00692D41" w:rsidRDefault="00000000">
      <w:pPr>
        <w:spacing w:after="0" w:line="240" w:lineRule="auto"/>
        <w:ind w:left="6480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heading=h.30j0zll" w:colFirst="0" w:colLast="0"/>
      <w:bookmarkEnd w:id="0"/>
      <w:r>
        <w:rPr>
          <w:rFonts w:ascii="Bookman Old Style" w:eastAsia="Bookman Old Style" w:hAnsi="Bookman Old Style" w:cs="Bookman Old Style"/>
          <w:b/>
          <w:sz w:val="34"/>
          <w:szCs w:val="34"/>
        </w:rPr>
        <w:t>PRINCIPAL</w:t>
      </w:r>
      <w:r>
        <w:rPr>
          <w:rFonts w:ascii="Bookman Old Style" w:eastAsia="Bookman Old Style" w:hAnsi="Bookman Old Style" w:cs="Bookman Old Style"/>
          <w:b/>
          <w:sz w:val="42"/>
          <w:szCs w:val="42"/>
        </w:rPr>
        <w:tab/>
      </w:r>
      <w:r>
        <w:rPr>
          <w:rFonts w:ascii="Bookman Old Style" w:eastAsia="Bookman Old Style" w:hAnsi="Bookman Old Style" w:cs="Bookman Old Style"/>
          <w:b/>
          <w:sz w:val="42"/>
          <w:szCs w:val="4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</w:p>
    <w:p w14:paraId="0E53E9F6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4434BA6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4BA0282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EFF21F2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CC63042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A362AAB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B0FC208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6937390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1C5402B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3B77D5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F70E16C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884CB2C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9730FC8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E31395C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1723FC3" w14:textId="77777777" w:rsidR="00692D41" w:rsidRDefault="0000000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0"/>
          <w:szCs w:val="30"/>
          <w:u w:val="single"/>
        </w:rPr>
      </w:pPr>
      <w:r>
        <w:rPr>
          <w:rFonts w:ascii="Bookman Old Style" w:eastAsia="Bookman Old Style" w:hAnsi="Bookman Old Style" w:cs="Bookman Old Style"/>
          <w:b/>
          <w:sz w:val="30"/>
          <w:szCs w:val="30"/>
          <w:u w:val="single"/>
        </w:rPr>
        <w:t>Circular Pertaining to assigning mentors to mentees</w:t>
      </w:r>
    </w:p>
    <w:p w14:paraId="6704DE4D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40D10E3C" w14:textId="77777777" w:rsidR="00692D41" w:rsidRDefault="0000000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Sample Circulars pertaining to assigning mentors to mentees</w:t>
      </w:r>
    </w:p>
    <w:tbl>
      <w:tblPr>
        <w:tblStyle w:val="a3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6"/>
        <w:gridCol w:w="2425"/>
      </w:tblGrid>
      <w:tr w:rsidR="00692D41" w14:paraId="02F368A1" w14:textId="77777777">
        <w:trPr>
          <w:trHeight w:val="334"/>
          <w:jc w:val="center"/>
        </w:trPr>
        <w:tc>
          <w:tcPr>
            <w:tcW w:w="6926" w:type="dxa"/>
            <w:vAlign w:val="center"/>
          </w:tcPr>
          <w:p w14:paraId="2F1BDA9B" w14:textId="77777777" w:rsidR="00692D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Academic Year</w:t>
            </w:r>
          </w:p>
        </w:tc>
        <w:tc>
          <w:tcPr>
            <w:tcW w:w="2425" w:type="dxa"/>
            <w:vAlign w:val="center"/>
          </w:tcPr>
          <w:p w14:paraId="5A9E38BC" w14:textId="77777777" w:rsidR="00692D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2023-24</w:t>
            </w:r>
          </w:p>
        </w:tc>
      </w:tr>
      <w:tr w:rsidR="00692D41" w14:paraId="0F0E5DAD" w14:textId="77777777">
        <w:trPr>
          <w:trHeight w:val="444"/>
          <w:jc w:val="center"/>
        </w:trPr>
        <w:tc>
          <w:tcPr>
            <w:tcW w:w="6926" w:type="dxa"/>
            <w:vAlign w:val="center"/>
          </w:tcPr>
          <w:p w14:paraId="4F01A448" w14:textId="77777777" w:rsidR="00692D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Number of Mentors from all the Program</w:t>
            </w:r>
          </w:p>
        </w:tc>
        <w:tc>
          <w:tcPr>
            <w:tcW w:w="2425" w:type="dxa"/>
            <w:vAlign w:val="center"/>
          </w:tcPr>
          <w:p w14:paraId="0D08360E" w14:textId="77777777" w:rsidR="00692D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108</w:t>
            </w:r>
          </w:p>
        </w:tc>
      </w:tr>
    </w:tbl>
    <w:p w14:paraId="352C7E3B" w14:textId="77777777" w:rsidR="00692D41" w:rsidRDefault="00692D4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6F362BF" w14:textId="77777777" w:rsidR="00692D41" w:rsidRDefault="00692D4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tbl>
      <w:tblPr>
        <w:tblStyle w:val="a4"/>
        <w:tblW w:w="9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8"/>
        <w:gridCol w:w="5411"/>
        <w:gridCol w:w="2615"/>
      </w:tblGrid>
      <w:tr w:rsidR="00692D41" w14:paraId="45AF55BE" w14:textId="77777777">
        <w:trPr>
          <w:trHeight w:val="464"/>
          <w:jc w:val="center"/>
        </w:trPr>
        <w:tc>
          <w:tcPr>
            <w:tcW w:w="1128" w:type="dxa"/>
          </w:tcPr>
          <w:p w14:paraId="421FED89" w14:textId="77777777" w:rsidR="00692D41" w:rsidRDefault="00000000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5411" w:type="dxa"/>
          </w:tcPr>
          <w:p w14:paraId="5DE88ACB" w14:textId="77777777" w:rsidR="00692D41" w:rsidRDefault="00000000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Program</w:t>
            </w:r>
          </w:p>
        </w:tc>
        <w:tc>
          <w:tcPr>
            <w:tcW w:w="2615" w:type="dxa"/>
          </w:tcPr>
          <w:p w14:paraId="3D216869" w14:textId="77777777" w:rsidR="00692D41" w:rsidRDefault="00000000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Document link</w:t>
            </w:r>
          </w:p>
        </w:tc>
      </w:tr>
      <w:tr w:rsidR="00692D41" w14:paraId="17B6C2B7" w14:textId="77777777">
        <w:trPr>
          <w:trHeight w:val="440"/>
          <w:jc w:val="center"/>
        </w:trPr>
        <w:tc>
          <w:tcPr>
            <w:tcW w:w="1128" w:type="dxa"/>
            <w:vAlign w:val="center"/>
          </w:tcPr>
          <w:p w14:paraId="72792C71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2DAAE3C3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Basic Science &amp; Humanities </w:t>
            </w:r>
          </w:p>
        </w:tc>
        <w:tc>
          <w:tcPr>
            <w:tcW w:w="2615" w:type="dxa"/>
            <w:vAlign w:val="center"/>
          </w:tcPr>
          <w:p w14:paraId="0FF07B4C" w14:textId="393DA30C" w:rsidR="00692D41" w:rsidRDefault="00000000">
            <w:pPr>
              <w:jc w:val="center"/>
            </w:pPr>
            <w:hyperlink r:id="rId8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39B9050E" w14:textId="77777777">
        <w:trPr>
          <w:trHeight w:val="440"/>
          <w:jc w:val="center"/>
        </w:trPr>
        <w:tc>
          <w:tcPr>
            <w:tcW w:w="1128" w:type="dxa"/>
            <w:vAlign w:val="center"/>
          </w:tcPr>
          <w:p w14:paraId="5958B17C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3A9DB511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Civil Engineering</w:t>
            </w:r>
          </w:p>
        </w:tc>
        <w:tc>
          <w:tcPr>
            <w:tcW w:w="2615" w:type="dxa"/>
            <w:vAlign w:val="center"/>
          </w:tcPr>
          <w:p w14:paraId="4F3830E8" w14:textId="17731BF8" w:rsidR="00692D41" w:rsidRDefault="00000000">
            <w:pPr>
              <w:jc w:val="center"/>
            </w:pPr>
            <w:hyperlink r:id="rId9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4E71835B" w14:textId="77777777">
        <w:trPr>
          <w:trHeight w:val="464"/>
          <w:jc w:val="center"/>
        </w:trPr>
        <w:tc>
          <w:tcPr>
            <w:tcW w:w="1128" w:type="dxa"/>
            <w:vAlign w:val="center"/>
          </w:tcPr>
          <w:p w14:paraId="0A03BC96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4C667971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&amp; Engineering</w:t>
            </w:r>
          </w:p>
        </w:tc>
        <w:tc>
          <w:tcPr>
            <w:tcW w:w="2615" w:type="dxa"/>
            <w:vAlign w:val="center"/>
          </w:tcPr>
          <w:p w14:paraId="124DD1AD" w14:textId="072F630B" w:rsidR="00692D41" w:rsidRDefault="00000000">
            <w:pPr>
              <w:jc w:val="center"/>
            </w:pPr>
            <w:hyperlink r:id="rId10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05353063" w14:textId="77777777">
        <w:trPr>
          <w:trHeight w:val="464"/>
          <w:jc w:val="center"/>
        </w:trPr>
        <w:tc>
          <w:tcPr>
            <w:tcW w:w="1128" w:type="dxa"/>
            <w:vAlign w:val="center"/>
          </w:tcPr>
          <w:p w14:paraId="73C92C06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07AAC696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&amp; Design</w:t>
            </w:r>
          </w:p>
        </w:tc>
        <w:tc>
          <w:tcPr>
            <w:tcW w:w="2615" w:type="dxa"/>
            <w:vAlign w:val="center"/>
          </w:tcPr>
          <w:p w14:paraId="3D912B41" w14:textId="6861E056" w:rsidR="00692D41" w:rsidRDefault="00000000">
            <w:pPr>
              <w:jc w:val="center"/>
            </w:pPr>
            <w:hyperlink r:id="rId11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194A4A84" w14:textId="77777777">
        <w:trPr>
          <w:trHeight w:val="440"/>
          <w:jc w:val="center"/>
        </w:trPr>
        <w:tc>
          <w:tcPr>
            <w:tcW w:w="1128" w:type="dxa"/>
            <w:vAlign w:val="center"/>
          </w:tcPr>
          <w:p w14:paraId="648DFC49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361470CF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Mechanical Engineering</w:t>
            </w:r>
          </w:p>
        </w:tc>
        <w:tc>
          <w:tcPr>
            <w:tcW w:w="2615" w:type="dxa"/>
            <w:vAlign w:val="center"/>
          </w:tcPr>
          <w:p w14:paraId="49388B71" w14:textId="2932B8EE" w:rsidR="00692D41" w:rsidRDefault="00000000">
            <w:pPr>
              <w:jc w:val="center"/>
            </w:pPr>
            <w:hyperlink r:id="rId12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5F632DC0" w14:textId="77777777">
        <w:trPr>
          <w:trHeight w:val="464"/>
          <w:jc w:val="center"/>
        </w:trPr>
        <w:tc>
          <w:tcPr>
            <w:tcW w:w="1128" w:type="dxa"/>
            <w:vAlign w:val="center"/>
          </w:tcPr>
          <w:p w14:paraId="521962F9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32F6CD10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Artificial Intelligence &amp; Machine Learning</w:t>
            </w:r>
          </w:p>
        </w:tc>
        <w:tc>
          <w:tcPr>
            <w:tcW w:w="2615" w:type="dxa"/>
            <w:vAlign w:val="center"/>
          </w:tcPr>
          <w:p w14:paraId="4125BA26" w14:textId="2BB761C1" w:rsidR="00692D41" w:rsidRDefault="00000000">
            <w:pPr>
              <w:jc w:val="center"/>
            </w:pPr>
            <w:hyperlink r:id="rId13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7161C5BC" w14:textId="77777777">
        <w:trPr>
          <w:trHeight w:val="464"/>
          <w:jc w:val="center"/>
        </w:trPr>
        <w:tc>
          <w:tcPr>
            <w:tcW w:w="1128" w:type="dxa"/>
            <w:vAlign w:val="center"/>
          </w:tcPr>
          <w:p w14:paraId="7ADF18CE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5BC792EA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Agriculture Engineering</w:t>
            </w:r>
          </w:p>
        </w:tc>
        <w:tc>
          <w:tcPr>
            <w:tcW w:w="2615" w:type="dxa"/>
            <w:vAlign w:val="center"/>
          </w:tcPr>
          <w:p w14:paraId="125C136C" w14:textId="3EAD05ED" w:rsidR="00692D41" w:rsidRDefault="00000000">
            <w:pPr>
              <w:jc w:val="center"/>
            </w:pPr>
            <w:hyperlink r:id="rId14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3A0C099E" w14:textId="77777777">
        <w:trPr>
          <w:trHeight w:val="464"/>
          <w:jc w:val="center"/>
        </w:trPr>
        <w:tc>
          <w:tcPr>
            <w:tcW w:w="1128" w:type="dxa"/>
            <w:vAlign w:val="center"/>
          </w:tcPr>
          <w:p w14:paraId="4EEBC3A5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45BD5EA4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Master of Business Administrations</w:t>
            </w:r>
          </w:p>
        </w:tc>
        <w:tc>
          <w:tcPr>
            <w:tcW w:w="2615" w:type="dxa"/>
            <w:vAlign w:val="center"/>
          </w:tcPr>
          <w:p w14:paraId="0CE4A148" w14:textId="07F6080F" w:rsidR="00692D41" w:rsidRDefault="00000000">
            <w:pPr>
              <w:jc w:val="center"/>
            </w:pPr>
            <w:hyperlink r:id="rId15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58DE3CA0" w14:textId="77777777">
        <w:trPr>
          <w:trHeight w:val="440"/>
          <w:jc w:val="center"/>
        </w:trPr>
        <w:tc>
          <w:tcPr>
            <w:tcW w:w="1128" w:type="dxa"/>
            <w:vAlign w:val="center"/>
          </w:tcPr>
          <w:p w14:paraId="7AD9D0A8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1126AA34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Electronics &amp; Communication Engineering </w:t>
            </w:r>
          </w:p>
        </w:tc>
        <w:tc>
          <w:tcPr>
            <w:tcW w:w="2615" w:type="dxa"/>
            <w:vAlign w:val="center"/>
          </w:tcPr>
          <w:p w14:paraId="135C5965" w14:textId="5EF149BF" w:rsidR="00692D41" w:rsidRDefault="00000000">
            <w:pPr>
              <w:jc w:val="center"/>
            </w:pPr>
            <w:hyperlink r:id="rId16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692D41" w14:paraId="1C57DEC8" w14:textId="77777777">
        <w:trPr>
          <w:trHeight w:val="440"/>
          <w:jc w:val="center"/>
        </w:trPr>
        <w:tc>
          <w:tcPr>
            <w:tcW w:w="1128" w:type="dxa"/>
            <w:vAlign w:val="center"/>
          </w:tcPr>
          <w:p w14:paraId="60C8A429" w14:textId="77777777" w:rsidR="00692D41" w:rsidRDefault="00692D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0C4E912A" w14:textId="77777777" w:rsidR="00692D41" w:rsidRDefault="0000000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Bookman Old Style" w:eastAsia="Bookman Old Style" w:hAnsi="Bookman Old Style" w:cs="Bookman Old Style"/>
              </w:rPr>
              <w:t xml:space="preserve">Information Science &amp; Engineering </w:t>
            </w:r>
          </w:p>
        </w:tc>
        <w:tc>
          <w:tcPr>
            <w:tcW w:w="2615" w:type="dxa"/>
            <w:vAlign w:val="center"/>
          </w:tcPr>
          <w:p w14:paraId="3D23AAAF" w14:textId="20091ACE" w:rsidR="00692D41" w:rsidRDefault="00000000">
            <w:pPr>
              <w:jc w:val="center"/>
            </w:pPr>
            <w:hyperlink r:id="rId17">
              <w:r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14:paraId="720A6503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3D21370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D40602A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9B6191B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EDDF60" w14:textId="77777777" w:rsidR="00692D41" w:rsidRDefault="00692D4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59F330D" w14:textId="77777777" w:rsidR="00692D41" w:rsidRDefault="00692D41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sectPr w:rsidR="00692D41">
      <w:headerReference w:type="default" r:id="rId18"/>
      <w:footerReference w:type="default" r:id="rId1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5AFF" w14:textId="77777777" w:rsidR="00BD01A8" w:rsidRDefault="00BD01A8">
      <w:pPr>
        <w:spacing w:after="0" w:line="240" w:lineRule="auto"/>
      </w:pPr>
      <w:r>
        <w:separator/>
      </w:r>
    </w:p>
  </w:endnote>
  <w:endnote w:type="continuationSeparator" w:id="0">
    <w:p w14:paraId="1E455A00" w14:textId="77777777" w:rsidR="00BD01A8" w:rsidRDefault="00BD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5C79" w14:textId="77777777" w:rsidR="00692D41" w:rsidRDefault="00692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E7EE" w14:textId="77777777" w:rsidR="00BD01A8" w:rsidRDefault="00BD01A8">
      <w:pPr>
        <w:spacing w:after="0" w:line="240" w:lineRule="auto"/>
      </w:pPr>
      <w:r>
        <w:separator/>
      </w:r>
    </w:p>
  </w:footnote>
  <w:footnote w:type="continuationSeparator" w:id="0">
    <w:p w14:paraId="405EB913" w14:textId="77777777" w:rsidR="00BD01A8" w:rsidRDefault="00BD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1CB0" w14:textId="77777777" w:rsidR="00692D41" w:rsidRDefault="00692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p w14:paraId="59315FDB" w14:textId="77777777" w:rsidR="00692D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ALVA’S INSTITUTE OF ENGINEERING &amp; TECHNOLOGY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A6F52A" wp14:editId="5A17F7DD">
          <wp:simplePos x="0" y="0"/>
          <wp:positionH relativeFrom="column">
            <wp:posOffset>-198119</wp:posOffset>
          </wp:positionH>
          <wp:positionV relativeFrom="paragraph">
            <wp:posOffset>129539</wp:posOffset>
          </wp:positionV>
          <wp:extent cx="731520" cy="731520"/>
          <wp:effectExtent l="0" t="0" r="0" b="0"/>
          <wp:wrapNone/>
          <wp:docPr id="18179738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373F2E" w14:textId="77777777" w:rsidR="00692D41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Shobhavana</w:t>
    </w:r>
    <w:proofErr w:type="spellEnd"/>
    <w:r>
      <w:rPr>
        <w:rFonts w:ascii="Times New Roman" w:eastAsia="Times New Roman" w:hAnsi="Times New Roman" w:cs="Times New Roman"/>
      </w:rPr>
      <w:t xml:space="preserve"> Campus </w:t>
    </w:r>
    <w:proofErr w:type="spellStart"/>
    <w:r>
      <w:rPr>
        <w:rFonts w:ascii="Times New Roman" w:eastAsia="Times New Roman" w:hAnsi="Times New Roman" w:cs="Times New Roman"/>
      </w:rPr>
      <w:t>Mijar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Moodbidri</w:t>
    </w:r>
    <w:proofErr w:type="spellEnd"/>
    <w:r>
      <w:rPr>
        <w:rFonts w:ascii="Times New Roman" w:eastAsia="Times New Roman" w:hAnsi="Times New Roman" w:cs="Times New Roman"/>
      </w:rPr>
      <w:t xml:space="preserve"> , D.K. </w:t>
    </w:r>
    <w:proofErr w:type="spellStart"/>
    <w:r>
      <w:rPr>
        <w:rFonts w:ascii="Times New Roman" w:eastAsia="Times New Roman" w:hAnsi="Times New Roman" w:cs="Times New Roman"/>
      </w:rPr>
      <w:t>Karntaka</w:t>
    </w:r>
    <w:proofErr w:type="spellEnd"/>
    <w:r>
      <w:rPr>
        <w:rFonts w:ascii="Times New Roman" w:eastAsia="Times New Roman" w:hAnsi="Times New Roman" w:cs="Times New Roman"/>
      </w:rPr>
      <w:t xml:space="preserve"> 574225</w:t>
    </w:r>
  </w:p>
  <w:p w14:paraId="207FB3C3" w14:textId="77777777" w:rsidR="00692D41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Autonomous Institute, Affiliated to VTU, </w:t>
    </w:r>
    <w:proofErr w:type="spellStart"/>
    <w:r>
      <w:rPr>
        <w:rFonts w:ascii="Times New Roman" w:eastAsia="Times New Roman" w:hAnsi="Times New Roman" w:cs="Times New Roman"/>
      </w:rPr>
      <w:t>Belagvai</w:t>
    </w:r>
    <w:proofErr w:type="spellEnd"/>
  </w:p>
  <w:p w14:paraId="5E1FF078" w14:textId="77777777" w:rsidR="00692D41" w:rsidRDefault="00000000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</w:rPr>
      <w:t>(</w:t>
    </w:r>
    <w:r>
      <w:rPr>
        <w:rFonts w:ascii="Times New Roman" w:eastAsia="Times New Roman" w:hAnsi="Times New Roman" w:cs="Times New Roman"/>
        <w:b/>
      </w:rPr>
      <w:t>Accredited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by NAAC with A+ Grade, and Accredited by NBA New Delhi 2019-2025)</w:t>
    </w:r>
  </w:p>
  <w:p w14:paraId="0A590104" w14:textId="77777777" w:rsidR="00692D41" w:rsidRDefault="00000000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48CCE8C" wp14:editId="08DCCBF8">
              <wp:simplePos x="0" y="0"/>
              <wp:positionH relativeFrom="column">
                <wp:posOffset>-419099</wp:posOffset>
              </wp:positionH>
              <wp:positionV relativeFrom="paragraph">
                <wp:posOffset>241300</wp:posOffset>
              </wp:positionV>
              <wp:extent cx="7797165" cy="34290"/>
              <wp:effectExtent l="0" t="0" r="0" b="0"/>
              <wp:wrapNone/>
              <wp:docPr id="1817973805" name="Straight Arrow Connector 18179738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452180" y="3767618"/>
                        <a:ext cx="7787640" cy="2476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241300</wp:posOffset>
              </wp:positionV>
              <wp:extent cx="7797165" cy="34290"/>
              <wp:effectExtent b="0" l="0" r="0" t="0"/>
              <wp:wrapNone/>
              <wp:docPr id="181797380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7165" cy="34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6012"/>
    <w:multiLevelType w:val="multilevel"/>
    <w:tmpl w:val="CE94B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42E2"/>
    <w:multiLevelType w:val="multilevel"/>
    <w:tmpl w:val="3118AFA8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num w:numId="1" w16cid:durableId="2136636038">
    <w:abstractNumId w:val="1"/>
  </w:num>
  <w:num w:numId="2" w16cid:durableId="122128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41"/>
    <w:rsid w:val="002B42D7"/>
    <w:rsid w:val="00692D41"/>
    <w:rsid w:val="007E2DAF"/>
    <w:rsid w:val="009D2E45"/>
    <w:rsid w:val="00AF0417"/>
    <w:rsid w:val="00B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61DF"/>
  <w15:docId w15:val="{E9FC7A9D-D28A-4164-AA42-11274E31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1"/>
    <w:next w:val="Normal1"/>
    <w:uiPriority w:val="9"/>
    <w:qFormat/>
    <w:rsid w:val="00713D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713D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713D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713D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713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713D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13DB0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3DB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6705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B223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75E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3-24)/CRITERIA%202/2.3.3/Circulars/I%20Year%20Circular.pdf" TargetMode="External"/><Relationship Id="rId13" Type="http://schemas.openxmlformats.org/officeDocument/2006/relationships/hyperlink" Target="https://cloud.aiet.org.in/storage/NAAC/NAAC%20AQAR%20(2023-24)/CRITERIA%202/2.3.3/Circulars/AIML%20Circular%20and%20Mentor%20List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3-24)/CRITERIA%202/2.3.3/Circulars/ME_CIRCULAR%20-2023-24.pdf" TargetMode="External"/><Relationship Id="rId17" Type="http://schemas.openxmlformats.org/officeDocument/2006/relationships/hyperlink" Target="https://cloud.aiet.org.in/storage/NAAC/NAAC%20AQAR%20(2023-24)/CRITERIA%202/2.3.3/Circulars/ISE%20Circular%20Mento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3-24)/CRITERIA%202/2.3.3/Circulars/ECE%20-Mentor%20circula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3-24)/CRITERIA%202/2.3.3/Circulars/CSD%20Mentor_Mentee_Lis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3-24)/CRITERIA%202/2.3.3/Circulars/MBA_CIRCUILAR.pdf" TargetMode="External"/><Relationship Id="rId10" Type="http://schemas.openxmlformats.org/officeDocument/2006/relationships/hyperlink" Target="https://cloud.aiet.org.in/storage/NAAC/NAAC%20AQAR%20(2023-24)/CRITERIA%202/2.3.3/Circulars/CSE%20Circular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3-24)/CRITERIA%202/2.3.3/Circulars/CV-%20Mentor%20Mentee%20Circular%20and%20List.pdf" TargetMode="External"/><Relationship Id="rId14" Type="http://schemas.openxmlformats.org/officeDocument/2006/relationships/hyperlink" Target="https://cloud.aiet.org.in/storage/NAAC/NAAC%20AQAR%20(2023-24)/CRITERIA%202/2.3.3/Circulars/AG-Circular%20and%20Lis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E/nCWzh3R3ZN8142011Pjb7Rg==">CgMxLjAyCWguMzBqMHpsbDIIaC5namRneHM4AHIhMU9tV0pDREVmNjg2Vkw3Uld6dlVYV1ZmbWx4VUpjVG5Z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Administrator</cp:lastModifiedBy>
  <cp:revision>3</cp:revision>
  <dcterms:created xsi:type="dcterms:W3CDTF">2024-12-11T05:12:00Z</dcterms:created>
  <dcterms:modified xsi:type="dcterms:W3CDTF">2024-12-11T13:28:00Z</dcterms:modified>
</cp:coreProperties>
</file>